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63C" w:rsidRPr="001B2D52" w:rsidRDefault="00390D21" w:rsidP="0046463C">
      <w:pPr>
        <w:autoSpaceDE/>
        <w:autoSpaceDN/>
        <w:adjustRightInd/>
        <w:spacing w:after="0"/>
        <w:jc w:val="left"/>
        <w:rPr>
          <w:rFonts w:cs="Arial"/>
          <w:highlight w:val="yellow"/>
        </w:rPr>
        <w:sectPr w:rsidR="0046463C" w:rsidRPr="001B2D52" w:rsidSect="0046463C">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bookmarkStart w:id="0" w:name="_GoBack"/>
      <w:bookmarkEnd w:id="0"/>
      <w:r w:rsidRPr="001B2D52">
        <w:rPr>
          <w:rFonts w:cs="Arial"/>
          <w:noProof/>
          <w:highlight w:val="yellow"/>
          <w:lang w:eastAsia="en-GB"/>
        </w:rPr>
        <mc:AlternateContent>
          <mc:Choice Requires="wps">
            <w:drawing>
              <wp:anchor distT="0" distB="0" distL="114300" distR="114300" simplePos="0" relativeHeight="251658240" behindDoc="0" locked="0" layoutInCell="1" allowOverlap="1">
                <wp:simplePos x="0" y="0"/>
                <wp:positionH relativeFrom="column">
                  <wp:posOffset>-340360</wp:posOffset>
                </wp:positionH>
                <wp:positionV relativeFrom="paragraph">
                  <wp:posOffset>5869940</wp:posOffset>
                </wp:positionV>
                <wp:extent cx="6640195" cy="2476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63C" w:rsidRDefault="00390D21" w:rsidP="0046463C">
                            <w:pPr>
                              <w:spacing w:after="0"/>
                              <w:ind w:right="-46"/>
                              <w:jc w:val="left"/>
                              <w:rPr>
                                <w:rFonts w:cs="Arial"/>
                                <w:b/>
                                <w:bCs/>
                                <w:sz w:val="52"/>
                                <w:szCs w:val="52"/>
                              </w:rPr>
                            </w:pPr>
                          </w:p>
                          <w:p w:rsidR="0046463C" w:rsidRDefault="00390D21" w:rsidP="0046463C">
                            <w:pPr>
                              <w:spacing w:after="0"/>
                              <w:ind w:right="-46"/>
                              <w:jc w:val="left"/>
                              <w:rPr>
                                <w:rFonts w:cs="Arial"/>
                                <w:b/>
                                <w:bCs/>
                                <w:sz w:val="52"/>
                                <w:szCs w:val="52"/>
                              </w:rPr>
                            </w:pPr>
                            <w:r>
                              <w:rPr>
                                <w:rFonts w:cs="Arial"/>
                                <w:b/>
                                <w:bCs/>
                                <w:sz w:val="52"/>
                                <w:szCs w:val="52"/>
                              </w:rPr>
                              <w:t>Money Matters</w:t>
                            </w:r>
                          </w:p>
                          <w:p w:rsidR="0046463C" w:rsidRDefault="00390D21" w:rsidP="0046463C">
                            <w:pPr>
                              <w:spacing w:after="0"/>
                              <w:ind w:right="-46"/>
                              <w:jc w:val="left"/>
                              <w:rPr>
                                <w:rFonts w:cs="Arial"/>
                                <w:b/>
                                <w:bCs/>
                                <w:sz w:val="52"/>
                                <w:szCs w:val="52"/>
                              </w:rPr>
                            </w:pPr>
                            <w:r>
                              <w:rPr>
                                <w:rFonts w:cs="Arial"/>
                                <w:b/>
                                <w:bCs/>
                                <w:sz w:val="52"/>
                                <w:szCs w:val="52"/>
                              </w:rPr>
                              <w:t>Financial Outlook for the County Council</w:t>
                            </w:r>
                          </w:p>
                          <w:p w:rsidR="0046463C" w:rsidRDefault="00390D21" w:rsidP="0046463C">
                            <w:pPr>
                              <w:spacing w:after="0"/>
                              <w:ind w:right="-46"/>
                              <w:jc w:val="left"/>
                              <w:rPr>
                                <w:rFonts w:cs="Arial"/>
                                <w:b/>
                                <w:bCs/>
                                <w:sz w:val="52"/>
                                <w:szCs w:val="52"/>
                              </w:rPr>
                            </w:pPr>
                            <w:r>
                              <w:rPr>
                                <w:rFonts w:cs="Arial"/>
                                <w:b/>
                                <w:bCs/>
                                <w:sz w:val="52"/>
                                <w:szCs w:val="52"/>
                              </w:rPr>
                              <w:t xml:space="preserve">Medium Term </w:t>
                            </w:r>
                            <w:r>
                              <w:rPr>
                                <w:rFonts w:cs="Arial"/>
                                <w:b/>
                                <w:bCs/>
                                <w:sz w:val="52"/>
                                <w:szCs w:val="52"/>
                              </w:rPr>
                              <w:t>Financial Strategy &amp; Reserves – Quarter 3</w:t>
                            </w:r>
                          </w:p>
                          <w:p w:rsidR="0046463C" w:rsidRPr="0037393E" w:rsidRDefault="00390D21" w:rsidP="0046463C">
                            <w:pPr>
                              <w:spacing w:after="0"/>
                              <w:ind w:right="-46"/>
                              <w:jc w:val="left"/>
                              <w:rPr>
                                <w:rFonts w:cs="Arial"/>
                                <w:b/>
                                <w:bCs/>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8pt;margin-top:462.2pt;width:522.8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" filled="f" stroked="f">
                <v:textbox>
                  <w:txbxContent>
                    <w:p w:rsidR="0046463C" w:rsidRDefault="00390D21" w:rsidP="0046463C">
                      <w:pPr>
                        <w:spacing w:after="0"/>
                        <w:ind w:right="-46"/>
                        <w:jc w:val="left"/>
                        <w:rPr>
                          <w:rFonts w:cs="Arial"/>
                          <w:b/>
                          <w:bCs/>
                          <w:sz w:val="52"/>
                          <w:szCs w:val="52"/>
                        </w:rPr>
                      </w:pPr>
                    </w:p>
                    <w:p w:rsidR="0046463C" w:rsidRDefault="00390D21" w:rsidP="0046463C">
                      <w:pPr>
                        <w:spacing w:after="0"/>
                        <w:ind w:right="-46"/>
                        <w:jc w:val="left"/>
                        <w:rPr>
                          <w:rFonts w:cs="Arial"/>
                          <w:b/>
                          <w:bCs/>
                          <w:sz w:val="52"/>
                          <w:szCs w:val="52"/>
                        </w:rPr>
                      </w:pPr>
                      <w:r>
                        <w:rPr>
                          <w:rFonts w:cs="Arial"/>
                          <w:b/>
                          <w:bCs/>
                          <w:sz w:val="52"/>
                          <w:szCs w:val="52"/>
                        </w:rPr>
                        <w:t>Money Matters</w:t>
                      </w:r>
                    </w:p>
                    <w:p w:rsidR="0046463C" w:rsidRDefault="00390D21" w:rsidP="0046463C">
                      <w:pPr>
                        <w:spacing w:after="0"/>
                        <w:ind w:right="-46"/>
                        <w:jc w:val="left"/>
                        <w:rPr>
                          <w:rFonts w:cs="Arial"/>
                          <w:b/>
                          <w:bCs/>
                          <w:sz w:val="52"/>
                          <w:szCs w:val="52"/>
                        </w:rPr>
                      </w:pPr>
                      <w:r>
                        <w:rPr>
                          <w:rFonts w:cs="Arial"/>
                          <w:b/>
                          <w:bCs/>
                          <w:sz w:val="52"/>
                          <w:szCs w:val="52"/>
                        </w:rPr>
                        <w:t>Financial Outlook for the County Council</w:t>
                      </w:r>
                    </w:p>
                    <w:p w:rsidR="0046463C" w:rsidRDefault="00390D21" w:rsidP="0046463C">
                      <w:pPr>
                        <w:spacing w:after="0"/>
                        <w:ind w:right="-46"/>
                        <w:jc w:val="left"/>
                        <w:rPr>
                          <w:rFonts w:cs="Arial"/>
                          <w:b/>
                          <w:bCs/>
                          <w:sz w:val="52"/>
                          <w:szCs w:val="52"/>
                        </w:rPr>
                      </w:pPr>
                      <w:r>
                        <w:rPr>
                          <w:rFonts w:cs="Arial"/>
                          <w:b/>
                          <w:bCs/>
                          <w:sz w:val="52"/>
                          <w:szCs w:val="52"/>
                        </w:rPr>
                        <w:t xml:space="preserve">Medium Term </w:t>
                      </w:r>
                      <w:r>
                        <w:rPr>
                          <w:rFonts w:cs="Arial"/>
                          <w:b/>
                          <w:bCs/>
                          <w:sz w:val="52"/>
                          <w:szCs w:val="52"/>
                        </w:rPr>
                        <w:t>Financial Strategy &amp; Reserves – Quarter 3</w:t>
                      </w:r>
                    </w:p>
                    <w:p w:rsidR="0046463C" w:rsidRPr="0037393E" w:rsidRDefault="00390D21" w:rsidP="0046463C">
                      <w:pPr>
                        <w:spacing w:after="0"/>
                        <w:ind w:right="-46"/>
                        <w:jc w:val="left"/>
                        <w:rPr>
                          <w:rFonts w:cs="Arial"/>
                          <w:b/>
                          <w:bCs/>
                          <w:sz w:val="52"/>
                          <w:szCs w:val="52"/>
                        </w:rPr>
                      </w:pPr>
                    </w:p>
                  </w:txbxContent>
                </v:textbox>
              </v:shape>
            </w:pict>
          </mc:Fallback>
        </mc:AlternateContent>
      </w:r>
    </w:p>
    <w:tbl>
      <w:tblPr>
        <w:tblStyle w:val="TableGrid11"/>
        <w:tblW w:w="0" w:type="auto"/>
        <w:tblLook w:val="04A0" w:firstRow="1" w:lastRow="0" w:firstColumn="1" w:lastColumn="0" w:noHBand="0" w:noVBand="1"/>
      </w:tblPr>
      <w:tblGrid>
        <w:gridCol w:w="562"/>
        <w:gridCol w:w="5437"/>
        <w:gridCol w:w="3017"/>
      </w:tblGrid>
      <w:tr w:rsidR="00C3717D" w:rsidTr="0046463C">
        <w:trPr>
          <w:trHeight w:val="699"/>
        </w:trPr>
        <w:tc>
          <w:tcPr>
            <w:tcW w:w="562" w:type="dxa"/>
            <w:vAlign w:val="center"/>
          </w:tcPr>
          <w:p w:rsidR="0046463C" w:rsidRPr="003112C7" w:rsidRDefault="00390D21" w:rsidP="0046463C">
            <w:pPr>
              <w:spacing w:after="0"/>
              <w:ind w:right="-46"/>
              <w:jc w:val="center"/>
              <w:rPr>
                <w:rFonts w:cs="Arial"/>
                <w:b/>
                <w:bCs/>
              </w:rPr>
            </w:pPr>
          </w:p>
        </w:tc>
        <w:tc>
          <w:tcPr>
            <w:tcW w:w="5437" w:type="dxa"/>
            <w:vAlign w:val="center"/>
          </w:tcPr>
          <w:p w:rsidR="0046463C" w:rsidRPr="003112C7" w:rsidRDefault="00390D21" w:rsidP="0046463C">
            <w:pPr>
              <w:spacing w:after="0"/>
              <w:ind w:right="-46"/>
              <w:jc w:val="center"/>
              <w:rPr>
                <w:rFonts w:cs="Arial"/>
                <w:b/>
                <w:bCs/>
              </w:rPr>
            </w:pPr>
            <w:r w:rsidRPr="003112C7">
              <w:rPr>
                <w:rFonts w:cs="Arial"/>
                <w:b/>
                <w:bCs/>
              </w:rPr>
              <w:t>Contents</w:t>
            </w:r>
          </w:p>
        </w:tc>
        <w:tc>
          <w:tcPr>
            <w:tcW w:w="3017" w:type="dxa"/>
            <w:shd w:val="clear" w:color="auto" w:fill="auto"/>
            <w:vAlign w:val="center"/>
          </w:tcPr>
          <w:p w:rsidR="0046463C" w:rsidRPr="003112C7" w:rsidRDefault="00390D21" w:rsidP="0046463C">
            <w:pPr>
              <w:spacing w:after="0"/>
              <w:ind w:right="-46"/>
              <w:jc w:val="center"/>
              <w:rPr>
                <w:rFonts w:cs="Arial"/>
                <w:b/>
                <w:bCs/>
              </w:rPr>
            </w:pPr>
            <w:r w:rsidRPr="003112C7">
              <w:rPr>
                <w:rFonts w:cs="Arial"/>
                <w:b/>
                <w:bCs/>
              </w:rPr>
              <w:t>Page</w:t>
            </w:r>
          </w:p>
        </w:tc>
      </w:tr>
      <w:tr w:rsidR="00C3717D" w:rsidTr="0046463C">
        <w:tc>
          <w:tcPr>
            <w:tcW w:w="562" w:type="dxa"/>
            <w:vAlign w:val="center"/>
          </w:tcPr>
          <w:p w:rsidR="0046463C" w:rsidRPr="003112C7" w:rsidRDefault="00390D21" w:rsidP="0046463C">
            <w:pPr>
              <w:spacing w:after="0"/>
              <w:ind w:right="-46"/>
              <w:jc w:val="center"/>
              <w:rPr>
                <w:rFonts w:cs="Arial"/>
                <w:b/>
                <w:bCs/>
              </w:rPr>
            </w:pPr>
            <w:r w:rsidRPr="003112C7">
              <w:rPr>
                <w:rFonts w:cs="Arial"/>
                <w:b/>
                <w:bCs/>
              </w:rPr>
              <w:t>1</w:t>
            </w:r>
          </w:p>
        </w:tc>
        <w:tc>
          <w:tcPr>
            <w:tcW w:w="5437" w:type="dxa"/>
            <w:vAlign w:val="center"/>
          </w:tcPr>
          <w:p w:rsidR="0046463C" w:rsidRPr="003112C7" w:rsidRDefault="00390D21" w:rsidP="0046463C">
            <w:pPr>
              <w:spacing w:after="0"/>
              <w:ind w:right="-46"/>
              <w:rPr>
                <w:rFonts w:cs="Arial"/>
                <w:b/>
                <w:bCs/>
              </w:rPr>
            </w:pPr>
          </w:p>
          <w:p w:rsidR="0046463C" w:rsidRPr="003112C7" w:rsidRDefault="00390D21" w:rsidP="0046463C">
            <w:pPr>
              <w:spacing w:after="0"/>
              <w:ind w:right="-46"/>
              <w:rPr>
                <w:rFonts w:cs="Arial"/>
                <w:b/>
                <w:bCs/>
              </w:rPr>
            </w:pPr>
            <w:r w:rsidRPr="003112C7">
              <w:rPr>
                <w:rFonts w:cs="Arial"/>
                <w:b/>
                <w:bCs/>
              </w:rPr>
              <w:t>Executive Summary</w:t>
            </w:r>
          </w:p>
          <w:p w:rsidR="0046463C" w:rsidRPr="003112C7" w:rsidRDefault="00390D21" w:rsidP="0046463C">
            <w:pPr>
              <w:spacing w:after="0"/>
              <w:ind w:right="-46"/>
              <w:rPr>
                <w:rFonts w:cs="Arial"/>
                <w:b/>
                <w:bCs/>
              </w:rPr>
            </w:pPr>
          </w:p>
        </w:tc>
        <w:tc>
          <w:tcPr>
            <w:tcW w:w="3017" w:type="dxa"/>
            <w:vAlign w:val="center"/>
          </w:tcPr>
          <w:p w:rsidR="0046463C" w:rsidRPr="003112C7" w:rsidRDefault="00390D21" w:rsidP="0046463C">
            <w:pPr>
              <w:spacing w:after="0"/>
              <w:ind w:right="-46"/>
              <w:jc w:val="center"/>
              <w:rPr>
                <w:rFonts w:cs="Arial"/>
                <w:b/>
                <w:bCs/>
              </w:rPr>
            </w:pPr>
            <w:r>
              <w:rPr>
                <w:rFonts w:cs="Arial"/>
                <w:b/>
                <w:bCs/>
              </w:rPr>
              <w:t>3</w:t>
            </w:r>
          </w:p>
        </w:tc>
      </w:tr>
      <w:tr w:rsidR="00C3717D" w:rsidTr="0046463C">
        <w:tc>
          <w:tcPr>
            <w:tcW w:w="562" w:type="dxa"/>
            <w:vAlign w:val="center"/>
          </w:tcPr>
          <w:p w:rsidR="0046463C" w:rsidRPr="003112C7" w:rsidRDefault="00390D21" w:rsidP="0046463C">
            <w:pPr>
              <w:spacing w:after="0"/>
              <w:ind w:right="-46"/>
              <w:jc w:val="center"/>
              <w:rPr>
                <w:rFonts w:cs="Arial"/>
                <w:b/>
                <w:bCs/>
              </w:rPr>
            </w:pPr>
            <w:r w:rsidRPr="003112C7">
              <w:rPr>
                <w:rFonts w:cs="Arial"/>
                <w:b/>
                <w:bCs/>
              </w:rPr>
              <w:t>2</w:t>
            </w:r>
          </w:p>
        </w:tc>
        <w:tc>
          <w:tcPr>
            <w:tcW w:w="5437" w:type="dxa"/>
            <w:vAlign w:val="center"/>
          </w:tcPr>
          <w:p w:rsidR="0046463C" w:rsidRPr="003112C7" w:rsidRDefault="00390D21" w:rsidP="0046463C">
            <w:pPr>
              <w:spacing w:after="0"/>
              <w:ind w:right="-46"/>
              <w:rPr>
                <w:rFonts w:cs="Arial"/>
                <w:b/>
                <w:bCs/>
              </w:rPr>
            </w:pPr>
          </w:p>
          <w:p w:rsidR="0046463C" w:rsidRPr="003112C7" w:rsidRDefault="00390D21" w:rsidP="0046463C">
            <w:pPr>
              <w:spacing w:after="0"/>
              <w:ind w:right="-46"/>
              <w:rPr>
                <w:rFonts w:cs="Arial"/>
                <w:b/>
                <w:bCs/>
              </w:rPr>
            </w:pPr>
            <w:r w:rsidRPr="003112C7">
              <w:rPr>
                <w:rFonts w:cs="Arial"/>
                <w:b/>
                <w:bCs/>
              </w:rPr>
              <w:t>Funding</w:t>
            </w:r>
          </w:p>
          <w:p w:rsidR="0046463C" w:rsidRPr="003112C7" w:rsidRDefault="00390D21" w:rsidP="0046463C">
            <w:pPr>
              <w:spacing w:after="0"/>
              <w:ind w:right="-46"/>
              <w:rPr>
                <w:rFonts w:cs="Arial"/>
                <w:b/>
                <w:bCs/>
              </w:rPr>
            </w:pPr>
          </w:p>
        </w:tc>
        <w:tc>
          <w:tcPr>
            <w:tcW w:w="3017" w:type="dxa"/>
            <w:vAlign w:val="center"/>
          </w:tcPr>
          <w:p w:rsidR="0046463C" w:rsidRPr="003112C7" w:rsidRDefault="00390D21" w:rsidP="0046463C">
            <w:pPr>
              <w:spacing w:after="0"/>
              <w:ind w:right="-46"/>
              <w:jc w:val="center"/>
              <w:rPr>
                <w:rFonts w:cs="Arial"/>
                <w:b/>
                <w:bCs/>
              </w:rPr>
            </w:pPr>
            <w:r>
              <w:rPr>
                <w:rFonts w:cs="Arial"/>
                <w:b/>
                <w:bCs/>
              </w:rPr>
              <w:t>7</w:t>
            </w:r>
          </w:p>
        </w:tc>
      </w:tr>
      <w:tr w:rsidR="00C3717D" w:rsidTr="0046463C">
        <w:tc>
          <w:tcPr>
            <w:tcW w:w="562" w:type="dxa"/>
            <w:vAlign w:val="center"/>
          </w:tcPr>
          <w:p w:rsidR="0046463C" w:rsidRPr="003112C7" w:rsidRDefault="00390D21" w:rsidP="0046463C">
            <w:pPr>
              <w:spacing w:after="0"/>
              <w:ind w:right="-46"/>
              <w:jc w:val="center"/>
              <w:rPr>
                <w:rFonts w:cs="Arial"/>
                <w:b/>
                <w:bCs/>
              </w:rPr>
            </w:pPr>
            <w:r w:rsidRPr="003112C7">
              <w:rPr>
                <w:rFonts w:cs="Arial"/>
                <w:b/>
                <w:bCs/>
              </w:rPr>
              <w:t>3</w:t>
            </w:r>
          </w:p>
        </w:tc>
        <w:tc>
          <w:tcPr>
            <w:tcW w:w="5437" w:type="dxa"/>
            <w:vAlign w:val="center"/>
          </w:tcPr>
          <w:p w:rsidR="0046463C" w:rsidRPr="003112C7" w:rsidRDefault="00390D21" w:rsidP="0046463C">
            <w:pPr>
              <w:spacing w:after="0"/>
              <w:ind w:right="-46"/>
              <w:rPr>
                <w:rFonts w:cs="Arial"/>
                <w:b/>
                <w:bCs/>
              </w:rPr>
            </w:pPr>
          </w:p>
          <w:p w:rsidR="0046463C" w:rsidRPr="003112C7" w:rsidRDefault="00390D21" w:rsidP="0046463C">
            <w:pPr>
              <w:spacing w:after="0"/>
              <w:ind w:right="-46"/>
              <w:rPr>
                <w:rFonts w:cs="Arial"/>
                <w:b/>
                <w:bCs/>
              </w:rPr>
            </w:pPr>
            <w:r w:rsidRPr="003112C7">
              <w:rPr>
                <w:rFonts w:cs="Arial"/>
                <w:b/>
                <w:bCs/>
              </w:rPr>
              <w:t xml:space="preserve">Net Budget Requirement </w:t>
            </w:r>
          </w:p>
          <w:p w:rsidR="0046463C" w:rsidRPr="003112C7" w:rsidRDefault="00390D21" w:rsidP="0046463C">
            <w:pPr>
              <w:spacing w:after="0"/>
              <w:ind w:right="-46"/>
              <w:rPr>
                <w:rFonts w:cs="Arial"/>
                <w:b/>
                <w:bCs/>
              </w:rPr>
            </w:pPr>
          </w:p>
        </w:tc>
        <w:tc>
          <w:tcPr>
            <w:tcW w:w="3017" w:type="dxa"/>
            <w:vAlign w:val="center"/>
          </w:tcPr>
          <w:p w:rsidR="0046463C" w:rsidRPr="003112C7" w:rsidRDefault="00390D21" w:rsidP="0046463C">
            <w:pPr>
              <w:spacing w:after="0"/>
              <w:ind w:right="-46"/>
              <w:jc w:val="center"/>
              <w:rPr>
                <w:rFonts w:cs="Arial"/>
                <w:b/>
                <w:bCs/>
              </w:rPr>
            </w:pPr>
            <w:r>
              <w:rPr>
                <w:rFonts w:cs="Arial"/>
                <w:b/>
                <w:bCs/>
              </w:rPr>
              <w:t>11</w:t>
            </w:r>
          </w:p>
        </w:tc>
      </w:tr>
      <w:tr w:rsidR="00C3717D" w:rsidTr="0046463C">
        <w:tc>
          <w:tcPr>
            <w:tcW w:w="562" w:type="dxa"/>
            <w:vAlign w:val="center"/>
          </w:tcPr>
          <w:p w:rsidR="0046463C" w:rsidRPr="003112C7" w:rsidRDefault="00390D21" w:rsidP="0046463C">
            <w:pPr>
              <w:spacing w:after="0"/>
              <w:ind w:right="-46"/>
              <w:jc w:val="center"/>
              <w:rPr>
                <w:rFonts w:cs="Arial"/>
                <w:b/>
                <w:bCs/>
              </w:rPr>
            </w:pPr>
            <w:r w:rsidRPr="003112C7">
              <w:rPr>
                <w:rFonts w:cs="Arial"/>
                <w:b/>
                <w:bCs/>
              </w:rPr>
              <w:t>4</w:t>
            </w:r>
          </w:p>
        </w:tc>
        <w:tc>
          <w:tcPr>
            <w:tcW w:w="5437" w:type="dxa"/>
            <w:vAlign w:val="center"/>
          </w:tcPr>
          <w:p w:rsidR="0046463C" w:rsidRPr="003112C7" w:rsidRDefault="00390D21" w:rsidP="0046463C">
            <w:pPr>
              <w:spacing w:after="0"/>
              <w:ind w:right="-46"/>
              <w:rPr>
                <w:rFonts w:cs="Arial"/>
                <w:b/>
                <w:bCs/>
              </w:rPr>
            </w:pPr>
          </w:p>
          <w:p w:rsidR="0046463C" w:rsidRPr="003112C7" w:rsidRDefault="00390D21" w:rsidP="0046463C">
            <w:pPr>
              <w:spacing w:after="0"/>
              <w:ind w:right="-46"/>
              <w:rPr>
                <w:rFonts w:cs="Arial"/>
                <w:b/>
                <w:bCs/>
              </w:rPr>
            </w:pPr>
            <w:r w:rsidRPr="003112C7">
              <w:rPr>
                <w:rFonts w:cs="Arial"/>
                <w:b/>
                <w:bCs/>
              </w:rPr>
              <w:t>Reserves</w:t>
            </w:r>
          </w:p>
          <w:p w:rsidR="0046463C" w:rsidRPr="003112C7" w:rsidRDefault="00390D21" w:rsidP="0046463C">
            <w:pPr>
              <w:spacing w:after="0"/>
              <w:ind w:right="-46"/>
              <w:rPr>
                <w:rFonts w:cs="Arial"/>
                <w:b/>
                <w:bCs/>
              </w:rPr>
            </w:pPr>
          </w:p>
        </w:tc>
        <w:tc>
          <w:tcPr>
            <w:tcW w:w="3017" w:type="dxa"/>
            <w:vAlign w:val="center"/>
          </w:tcPr>
          <w:p w:rsidR="0046463C" w:rsidRPr="003112C7" w:rsidRDefault="00390D21" w:rsidP="0046463C">
            <w:pPr>
              <w:spacing w:after="0"/>
              <w:ind w:right="-46"/>
              <w:jc w:val="center"/>
              <w:rPr>
                <w:rFonts w:cs="Arial"/>
                <w:b/>
                <w:bCs/>
              </w:rPr>
            </w:pPr>
            <w:r>
              <w:rPr>
                <w:rFonts w:cs="Arial"/>
                <w:b/>
                <w:bCs/>
              </w:rPr>
              <w:t>15</w:t>
            </w:r>
          </w:p>
        </w:tc>
      </w:tr>
      <w:tr w:rsidR="00C3717D" w:rsidTr="0046463C">
        <w:tc>
          <w:tcPr>
            <w:tcW w:w="562" w:type="dxa"/>
            <w:vAlign w:val="center"/>
          </w:tcPr>
          <w:p w:rsidR="0046463C" w:rsidRPr="003112C7" w:rsidRDefault="00390D21" w:rsidP="0046463C">
            <w:pPr>
              <w:spacing w:after="0"/>
              <w:ind w:right="-46"/>
              <w:jc w:val="center"/>
              <w:rPr>
                <w:rFonts w:cs="Arial"/>
                <w:b/>
                <w:bCs/>
              </w:rPr>
            </w:pPr>
          </w:p>
          <w:p w:rsidR="0046463C" w:rsidRPr="003112C7" w:rsidRDefault="00390D21" w:rsidP="0046463C">
            <w:pPr>
              <w:spacing w:after="0"/>
              <w:ind w:right="-46"/>
              <w:jc w:val="center"/>
              <w:rPr>
                <w:rFonts w:cs="Arial"/>
                <w:b/>
                <w:bCs/>
              </w:rPr>
            </w:pPr>
            <w:r w:rsidRPr="003112C7">
              <w:rPr>
                <w:rFonts w:cs="Arial"/>
                <w:b/>
                <w:bCs/>
              </w:rPr>
              <w:t>5</w:t>
            </w:r>
          </w:p>
          <w:p w:rsidR="0046463C" w:rsidRPr="003112C7" w:rsidRDefault="00390D21" w:rsidP="0046463C">
            <w:pPr>
              <w:spacing w:after="0"/>
              <w:ind w:right="-46"/>
              <w:jc w:val="center"/>
              <w:rPr>
                <w:rFonts w:cs="Arial"/>
                <w:b/>
                <w:bCs/>
              </w:rPr>
            </w:pPr>
          </w:p>
        </w:tc>
        <w:tc>
          <w:tcPr>
            <w:tcW w:w="5437" w:type="dxa"/>
            <w:vAlign w:val="center"/>
          </w:tcPr>
          <w:p w:rsidR="0046463C" w:rsidRPr="003112C7" w:rsidRDefault="00390D21" w:rsidP="0046463C">
            <w:pPr>
              <w:spacing w:after="0"/>
              <w:ind w:right="-46"/>
              <w:rPr>
                <w:rFonts w:cs="Arial"/>
                <w:b/>
                <w:bCs/>
              </w:rPr>
            </w:pPr>
            <w:r w:rsidRPr="003112C7">
              <w:rPr>
                <w:rFonts w:cs="Arial"/>
                <w:b/>
                <w:bCs/>
              </w:rPr>
              <w:t>Future Risks and Opportunities</w:t>
            </w:r>
          </w:p>
        </w:tc>
        <w:tc>
          <w:tcPr>
            <w:tcW w:w="3017" w:type="dxa"/>
            <w:vAlign w:val="center"/>
          </w:tcPr>
          <w:p w:rsidR="0046463C" w:rsidRPr="003112C7" w:rsidRDefault="00390D21" w:rsidP="0046463C">
            <w:pPr>
              <w:spacing w:after="0"/>
              <w:ind w:right="-46"/>
              <w:jc w:val="center"/>
              <w:rPr>
                <w:rFonts w:cs="Arial"/>
                <w:b/>
                <w:bCs/>
              </w:rPr>
            </w:pPr>
            <w:r>
              <w:rPr>
                <w:rFonts w:cs="Arial"/>
                <w:b/>
                <w:bCs/>
              </w:rPr>
              <w:t>16</w:t>
            </w:r>
          </w:p>
        </w:tc>
      </w:tr>
    </w:tbl>
    <w:p w:rsidR="0046463C" w:rsidRPr="00E95F45" w:rsidRDefault="00390D21" w:rsidP="0046463C">
      <w:pPr>
        <w:spacing w:after="0"/>
        <w:ind w:right="-46"/>
        <w:rPr>
          <w:rFonts w:cs="Arial"/>
          <w:b/>
          <w:bCs/>
          <w:highlight w:val="yellow"/>
        </w:rPr>
      </w:pPr>
    </w:p>
    <w:p w:rsidR="0046463C" w:rsidRPr="00E95F45" w:rsidRDefault="00390D21" w:rsidP="0046463C">
      <w:pPr>
        <w:autoSpaceDE/>
        <w:autoSpaceDN/>
        <w:adjustRightInd/>
        <w:spacing w:after="0"/>
        <w:jc w:val="left"/>
        <w:rPr>
          <w:rFonts w:cs="Arial"/>
          <w:b/>
          <w:highlight w:val="yellow"/>
        </w:rPr>
      </w:pPr>
      <w:r w:rsidRPr="00E95F45">
        <w:rPr>
          <w:rFonts w:cs="Arial"/>
          <w:b/>
          <w:highlight w:val="yellow"/>
        </w:rPr>
        <w:br w:type="page"/>
      </w:r>
    </w:p>
    <w:p w:rsidR="0046463C" w:rsidRPr="008E1CFA" w:rsidRDefault="00390D21" w:rsidP="0046463C">
      <w:pPr>
        <w:numPr>
          <w:ilvl w:val="0"/>
          <w:numId w:val="25"/>
        </w:numPr>
        <w:spacing w:after="0"/>
        <w:ind w:left="567" w:hanging="567"/>
        <w:contextualSpacing/>
        <w:rPr>
          <w:rFonts w:cs="Arial"/>
          <w:b/>
        </w:rPr>
      </w:pPr>
      <w:r w:rsidRPr="008E1CFA">
        <w:rPr>
          <w:rFonts w:cs="Arial"/>
          <w:b/>
        </w:rPr>
        <w:lastRenderedPageBreak/>
        <w:t>Executive summary</w:t>
      </w:r>
    </w:p>
    <w:p w:rsidR="0046463C" w:rsidRPr="008E1CFA" w:rsidRDefault="00390D21" w:rsidP="0046463C">
      <w:pPr>
        <w:spacing w:after="0"/>
        <w:ind w:left="567"/>
        <w:contextualSpacing/>
        <w:rPr>
          <w:rFonts w:cs="Arial"/>
          <w:b/>
        </w:rPr>
      </w:pPr>
    </w:p>
    <w:p w:rsidR="0046463C" w:rsidRDefault="00390D21" w:rsidP="0046463C">
      <w:pPr>
        <w:tabs>
          <w:tab w:val="left" w:pos="567"/>
          <w:tab w:val="left" w:pos="1134"/>
        </w:tabs>
        <w:spacing w:after="0"/>
        <w:rPr>
          <w:rFonts w:cs="Arial"/>
        </w:rPr>
      </w:pPr>
      <w:r w:rsidRPr="008E1CFA">
        <w:rPr>
          <w:rFonts w:cs="Arial"/>
        </w:rPr>
        <w:t xml:space="preserve">At Cabinet in </w:t>
      </w:r>
      <w:r>
        <w:rPr>
          <w:rFonts w:cs="Arial"/>
        </w:rPr>
        <w:t>November</w:t>
      </w:r>
      <w:r w:rsidRPr="008E1CFA">
        <w:rPr>
          <w:rFonts w:cs="Arial"/>
        </w:rPr>
        <w:t xml:space="preserve"> 2020 the updated medium term financial strategy (MTFS) set out a forecast a</w:t>
      </w:r>
      <w:r>
        <w:rPr>
          <w:rFonts w:cs="Arial"/>
        </w:rPr>
        <w:t>ggregated funding gap of £50.368</w:t>
      </w:r>
      <w:r w:rsidRPr="008E1CFA">
        <w:rPr>
          <w:rFonts w:cs="Arial"/>
        </w:rPr>
        <w:t>m in 2021/22 and £</w:t>
      </w:r>
      <w:r>
        <w:rPr>
          <w:rFonts w:cs="Arial"/>
        </w:rPr>
        <w:t>78.791</w:t>
      </w:r>
      <w:r w:rsidRPr="008E1CFA">
        <w:rPr>
          <w:rFonts w:cs="Arial"/>
        </w:rPr>
        <w:t xml:space="preserve">m by the end of the 3 year period (2021/22 – 2023/24). This reflected the ongoing and unprecedented uncertainty in relation </w:t>
      </w:r>
      <w:r w:rsidRPr="008E1CFA">
        <w:rPr>
          <w:rFonts w:cs="Arial"/>
        </w:rPr>
        <w:t xml:space="preserve">to future local government funding and the financial impact of the Covid-19 emergency. </w:t>
      </w:r>
    </w:p>
    <w:p w:rsidR="0046463C" w:rsidRDefault="00390D21" w:rsidP="0046463C">
      <w:pPr>
        <w:tabs>
          <w:tab w:val="left" w:pos="567"/>
          <w:tab w:val="left" w:pos="1134"/>
        </w:tabs>
        <w:spacing w:after="0"/>
        <w:rPr>
          <w:rFonts w:cs="Arial"/>
        </w:rPr>
      </w:pPr>
    </w:p>
    <w:p w:rsidR="0046463C" w:rsidRDefault="00390D21" w:rsidP="0046463C">
      <w:pPr>
        <w:tabs>
          <w:tab w:val="left" w:pos="567"/>
          <w:tab w:val="left" w:pos="1134"/>
        </w:tabs>
        <w:spacing w:after="0"/>
        <w:rPr>
          <w:rFonts w:cs="Arial"/>
          <w:color w:val="0B0C0C"/>
          <w:shd w:val="clear" w:color="auto" w:fill="FFFFFF"/>
        </w:rPr>
      </w:pPr>
      <w:r w:rsidRPr="008E1CFA">
        <w:rPr>
          <w:rFonts w:cs="Arial"/>
        </w:rPr>
        <w:t xml:space="preserve">Whilst a multi-year Spending Review was originally expected, the </w:t>
      </w:r>
      <w:r w:rsidRPr="008E1CFA">
        <w:rPr>
          <w:rFonts w:cs="Arial"/>
          <w:color w:val="0B0C0C"/>
          <w:shd w:val="clear" w:color="auto" w:fill="FFFFFF"/>
        </w:rPr>
        <w:t xml:space="preserve">Chancellor and the Prime Minister decided to conduct a one-year Spending Review, setting department’s resource and capital budgets for 2021/22 only in order to prioritise the response to Covid-19 and focus on supporting jobs. </w:t>
      </w:r>
      <w:r>
        <w:rPr>
          <w:rFonts w:cs="Arial"/>
          <w:color w:val="0B0C0C"/>
          <w:shd w:val="clear" w:color="auto" w:fill="FFFFFF"/>
        </w:rPr>
        <w:t>The MTFS at quarter 3 reflects</w:t>
      </w:r>
      <w:r>
        <w:rPr>
          <w:rFonts w:cs="Arial"/>
          <w:color w:val="0B0C0C"/>
          <w:shd w:val="clear" w:color="auto" w:fill="FFFFFF"/>
        </w:rPr>
        <w:t xml:space="preserve"> the provisional financial settlement which was announced on 17</w:t>
      </w:r>
      <w:r w:rsidRPr="008E1CFA">
        <w:rPr>
          <w:rFonts w:cs="Arial"/>
          <w:color w:val="0B0C0C"/>
          <w:shd w:val="clear" w:color="auto" w:fill="FFFFFF"/>
          <w:vertAlign w:val="superscript"/>
        </w:rPr>
        <w:t>th</w:t>
      </w:r>
      <w:r>
        <w:rPr>
          <w:rFonts w:cs="Arial"/>
          <w:color w:val="0B0C0C"/>
          <w:shd w:val="clear" w:color="auto" w:fill="FFFFFF"/>
        </w:rPr>
        <w:t xml:space="preserve"> December 2020. This provided confirmation of funding announcements made by the Chancellor as part of the Spending Review 2020</w:t>
      </w:r>
      <w:r>
        <w:rPr>
          <w:rFonts w:cs="Arial"/>
          <w:color w:val="0B0C0C"/>
          <w:shd w:val="clear" w:color="auto" w:fill="FFFFFF"/>
        </w:rPr>
        <w:t>, however these are subject to consultation and could change as p</w:t>
      </w:r>
      <w:r>
        <w:rPr>
          <w:rFonts w:cs="Arial"/>
          <w:color w:val="0B0C0C"/>
          <w:shd w:val="clear" w:color="auto" w:fill="FFFFFF"/>
        </w:rPr>
        <w:t>art of the final financial settlement</w:t>
      </w:r>
      <w:r>
        <w:rPr>
          <w:rFonts w:cs="Arial"/>
          <w:color w:val="0B0C0C"/>
          <w:shd w:val="clear" w:color="auto" w:fill="FFFFFF"/>
        </w:rPr>
        <w:t>. This included the ability to raise additional council tax through a social care precept and additional fundi</w:t>
      </w:r>
      <w:r>
        <w:rPr>
          <w:rFonts w:cs="Arial"/>
          <w:color w:val="0B0C0C"/>
          <w:shd w:val="clear" w:color="auto" w:fill="FFFFFF"/>
        </w:rPr>
        <w:t>ng to support the costs of the C</w:t>
      </w:r>
      <w:r>
        <w:rPr>
          <w:rFonts w:cs="Arial"/>
          <w:color w:val="0B0C0C"/>
          <w:shd w:val="clear" w:color="auto" w:fill="FFFFFF"/>
        </w:rPr>
        <w:t xml:space="preserve">ovid-19 pandemic. These changes have had a </w:t>
      </w:r>
      <w:r w:rsidRPr="008E1CFA">
        <w:rPr>
          <w:rFonts w:cs="Arial"/>
          <w:color w:val="0B0C0C"/>
          <w:shd w:val="clear" w:color="auto" w:fill="FFFFFF"/>
        </w:rPr>
        <w:t>significant impact on the forecast</w:t>
      </w:r>
      <w:r w:rsidRPr="008E1CFA">
        <w:rPr>
          <w:rFonts w:cs="Arial"/>
          <w:color w:val="0B0C0C"/>
          <w:shd w:val="clear" w:color="auto" w:fill="FFFFFF"/>
        </w:rPr>
        <w:t xml:space="preserve"> gap in 2021/22</w:t>
      </w:r>
      <w:r>
        <w:rPr>
          <w:rFonts w:cs="Arial"/>
          <w:color w:val="0B0C0C"/>
          <w:shd w:val="clear" w:color="auto" w:fill="FFFFFF"/>
        </w:rPr>
        <w:t xml:space="preserve">, however it must be noted that many of these changes are non-recurrent and it is likely that there will be longer term pressures within the budget due to the impact of Covid-19 which are difficult to quantify at this stage in the pandemic. </w:t>
      </w:r>
    </w:p>
    <w:p w:rsidR="0046463C" w:rsidRDefault="00390D21" w:rsidP="0046463C">
      <w:pPr>
        <w:tabs>
          <w:tab w:val="left" w:pos="567"/>
          <w:tab w:val="left" w:pos="1134"/>
        </w:tabs>
        <w:spacing w:after="0"/>
        <w:rPr>
          <w:rFonts w:cs="Arial"/>
          <w:color w:val="0B0C0C"/>
          <w:shd w:val="clear" w:color="auto" w:fill="FFFFFF"/>
        </w:rPr>
      </w:pPr>
    </w:p>
    <w:p w:rsidR="0046463C" w:rsidRPr="008E1CFA" w:rsidRDefault="00390D21" w:rsidP="0046463C">
      <w:pPr>
        <w:tabs>
          <w:tab w:val="left" w:pos="567"/>
          <w:tab w:val="left" w:pos="1134"/>
        </w:tabs>
        <w:spacing w:after="0"/>
        <w:rPr>
          <w:rFonts w:cs="Arial"/>
          <w:color w:val="0B0C0C"/>
          <w:shd w:val="clear" w:color="auto" w:fill="FFFFFF"/>
        </w:rPr>
      </w:pPr>
      <w:r>
        <w:rPr>
          <w:rFonts w:cs="Arial"/>
          <w:color w:val="0B0C0C"/>
          <w:shd w:val="clear" w:color="auto" w:fill="FFFFFF"/>
        </w:rPr>
        <w:t>The information in relation to council tax is heavily dependent upon calculations undertaken by district councils. This report contains the best estimates of tax base for 2021/22 and the estimated irrecoverable income in 2020/21, which the Government has</w:t>
      </w:r>
      <w:r>
        <w:rPr>
          <w:rFonts w:cs="Arial"/>
          <w:color w:val="0B0C0C"/>
          <w:shd w:val="clear" w:color="auto" w:fill="FFFFFF"/>
        </w:rPr>
        <w:t xml:space="preserve"> agreed can be spread over 3 years and have now indicated they will provide funding for 75% of the cost. This is an area that we expect to change prior to the budget Full Council in February, as districts are working through tax base projections (including</w:t>
      </w:r>
      <w:r>
        <w:rPr>
          <w:rFonts w:cs="Arial"/>
          <w:color w:val="0B0C0C"/>
          <w:shd w:val="clear" w:color="auto" w:fill="FFFFFF"/>
        </w:rPr>
        <w:t xml:space="preserve"> the impact of council tax support schemes and collection rates), with the information not needing to be provided until the statutory deadline of 31</w:t>
      </w:r>
      <w:r w:rsidRPr="00FC2EAA">
        <w:rPr>
          <w:rFonts w:cs="Arial"/>
          <w:color w:val="0B0C0C"/>
          <w:shd w:val="clear" w:color="auto" w:fill="FFFFFF"/>
          <w:vertAlign w:val="superscript"/>
        </w:rPr>
        <w:t>st</w:t>
      </w:r>
      <w:r>
        <w:rPr>
          <w:rFonts w:cs="Arial"/>
          <w:color w:val="0B0C0C"/>
          <w:shd w:val="clear" w:color="auto" w:fill="FFFFFF"/>
        </w:rPr>
        <w:t xml:space="preserve"> January. </w:t>
      </w:r>
    </w:p>
    <w:p w:rsidR="0046463C" w:rsidRPr="008E1CFA" w:rsidRDefault="00390D21" w:rsidP="0046463C">
      <w:pPr>
        <w:tabs>
          <w:tab w:val="left" w:pos="567"/>
          <w:tab w:val="left" w:pos="1134"/>
        </w:tabs>
        <w:spacing w:after="0"/>
        <w:rPr>
          <w:rFonts w:cs="Arial"/>
          <w:color w:val="0B0C0C"/>
          <w:shd w:val="clear" w:color="auto" w:fill="FFFFFF"/>
        </w:rPr>
      </w:pPr>
    </w:p>
    <w:p w:rsidR="0046463C" w:rsidRPr="008E1CFA" w:rsidRDefault="00390D21" w:rsidP="0046463C">
      <w:pPr>
        <w:tabs>
          <w:tab w:val="left" w:pos="567"/>
          <w:tab w:val="left" w:pos="1134"/>
        </w:tabs>
        <w:spacing w:after="0"/>
        <w:rPr>
          <w:rFonts w:cs="Arial"/>
        </w:rPr>
      </w:pPr>
      <w:r w:rsidRPr="008E1CFA">
        <w:rPr>
          <w:rFonts w:cs="Arial"/>
        </w:rPr>
        <w:t>This report provides an updated position covering the financial years 2021/22 – 2023/24</w:t>
      </w:r>
      <w:r>
        <w:rPr>
          <w:rFonts w:cs="Arial"/>
        </w:rPr>
        <w:t>. The f</w:t>
      </w:r>
      <w:r>
        <w:rPr>
          <w:rFonts w:cs="Arial"/>
        </w:rPr>
        <w:t xml:space="preserve">orecast funding gap for 2021/22 is £2.319m, with an </w:t>
      </w:r>
      <w:r w:rsidRPr="008E1CFA">
        <w:rPr>
          <w:rFonts w:cs="Arial"/>
        </w:rPr>
        <w:t>updated aggregated funding ga</w:t>
      </w:r>
      <w:r>
        <w:rPr>
          <w:rFonts w:cs="Arial"/>
        </w:rPr>
        <w:t>p contained within the report of</w:t>
      </w:r>
      <w:r w:rsidRPr="008E1CFA">
        <w:rPr>
          <w:rFonts w:cs="Arial"/>
        </w:rPr>
        <w:t xml:space="preserve"> £</w:t>
      </w:r>
      <w:r>
        <w:rPr>
          <w:rFonts w:cs="Arial"/>
        </w:rPr>
        <w:t>53.956</w:t>
      </w:r>
      <w:r w:rsidRPr="008E1CFA">
        <w:rPr>
          <w:rFonts w:cs="Arial"/>
        </w:rPr>
        <w:t>m by 2023/24 which is a reduction of £</w:t>
      </w:r>
      <w:r>
        <w:rPr>
          <w:rFonts w:cs="Arial"/>
        </w:rPr>
        <w:t>24.835</w:t>
      </w:r>
      <w:r w:rsidRPr="008E1CFA">
        <w:rPr>
          <w:rFonts w:cs="Arial"/>
        </w:rPr>
        <w:t xml:space="preserve">m from the previously reported position in </w:t>
      </w:r>
      <w:r>
        <w:rPr>
          <w:rFonts w:cs="Arial"/>
        </w:rPr>
        <w:t xml:space="preserve">November. </w:t>
      </w:r>
      <w:r w:rsidRPr="008E1CFA">
        <w:rPr>
          <w:rFonts w:cs="Arial"/>
        </w:rPr>
        <w:t>The main reasons for the changes to th</w:t>
      </w:r>
      <w:r w:rsidRPr="008E1CFA">
        <w:rPr>
          <w:rFonts w:cs="Arial"/>
        </w:rPr>
        <w:t>e position are as follows:</w:t>
      </w:r>
    </w:p>
    <w:p w:rsidR="0046463C" w:rsidRDefault="00390D21" w:rsidP="0046463C">
      <w:pPr>
        <w:tabs>
          <w:tab w:val="left" w:pos="567"/>
          <w:tab w:val="left" w:pos="1134"/>
        </w:tabs>
        <w:spacing w:after="0"/>
        <w:rPr>
          <w:rFonts w:cs="Arial"/>
        </w:rPr>
      </w:pPr>
    </w:p>
    <w:p w:rsidR="0046463C" w:rsidRDefault="00390D21" w:rsidP="0046463C">
      <w:pPr>
        <w:pStyle w:val="ListParagraph"/>
        <w:numPr>
          <w:ilvl w:val="0"/>
          <w:numId w:val="47"/>
        </w:numPr>
        <w:tabs>
          <w:tab w:val="left" w:pos="567"/>
          <w:tab w:val="left" w:pos="1134"/>
        </w:tabs>
        <w:spacing w:after="0"/>
        <w:ind w:left="567"/>
        <w:rPr>
          <w:rFonts w:cs="Arial"/>
        </w:rPr>
      </w:pPr>
      <w:r>
        <w:rPr>
          <w:rFonts w:cs="Arial"/>
        </w:rPr>
        <w:t>Increase in council tax of 4.99% including the ability to raise an additional 3% as an adult social care precept.</w:t>
      </w:r>
    </w:p>
    <w:p w:rsidR="0046463C" w:rsidRDefault="00390D21" w:rsidP="0046463C">
      <w:pPr>
        <w:pStyle w:val="ListParagraph"/>
        <w:numPr>
          <w:ilvl w:val="0"/>
          <w:numId w:val="47"/>
        </w:numPr>
        <w:tabs>
          <w:tab w:val="left" w:pos="567"/>
          <w:tab w:val="left" w:pos="1134"/>
        </w:tabs>
        <w:spacing w:after="0"/>
        <w:ind w:left="567"/>
        <w:rPr>
          <w:rFonts w:cs="Arial"/>
        </w:rPr>
      </w:pPr>
      <w:r>
        <w:rPr>
          <w:rFonts w:cs="Arial"/>
        </w:rPr>
        <w:t xml:space="preserve">Additional business rates income s31 grants confirmed in the provisional settlement. </w:t>
      </w:r>
    </w:p>
    <w:p w:rsidR="0046463C" w:rsidRDefault="00390D21" w:rsidP="0046463C">
      <w:pPr>
        <w:pStyle w:val="ListParagraph"/>
        <w:numPr>
          <w:ilvl w:val="0"/>
          <w:numId w:val="47"/>
        </w:numPr>
        <w:tabs>
          <w:tab w:val="left" w:pos="567"/>
          <w:tab w:val="left" w:pos="1134"/>
        </w:tabs>
        <w:spacing w:after="0"/>
        <w:ind w:left="567"/>
        <w:rPr>
          <w:rFonts w:cs="Arial"/>
        </w:rPr>
      </w:pPr>
      <w:r>
        <w:rPr>
          <w:rFonts w:cs="Arial"/>
        </w:rPr>
        <w:t>An estimated reduction in co</w:t>
      </w:r>
      <w:r>
        <w:rPr>
          <w:rFonts w:cs="Arial"/>
        </w:rPr>
        <w:t>uncil tax base of 1% which is offset by additional f</w:t>
      </w:r>
      <w:r>
        <w:rPr>
          <w:rFonts w:cs="Arial"/>
        </w:rPr>
        <w:t>unding provided as part of the C</w:t>
      </w:r>
      <w:r>
        <w:rPr>
          <w:rFonts w:cs="Arial"/>
        </w:rPr>
        <w:t xml:space="preserve">ovid-19 support package. </w:t>
      </w:r>
    </w:p>
    <w:p w:rsidR="0046463C" w:rsidRDefault="00390D21" w:rsidP="0046463C">
      <w:pPr>
        <w:pStyle w:val="ListParagraph"/>
        <w:numPr>
          <w:ilvl w:val="0"/>
          <w:numId w:val="47"/>
        </w:numPr>
        <w:tabs>
          <w:tab w:val="left" w:pos="567"/>
          <w:tab w:val="left" w:pos="1134"/>
        </w:tabs>
        <w:spacing w:after="0"/>
        <w:ind w:left="567"/>
        <w:rPr>
          <w:rFonts w:cs="Arial"/>
        </w:rPr>
      </w:pPr>
      <w:r>
        <w:rPr>
          <w:rFonts w:cs="Arial"/>
        </w:rPr>
        <w:t>Additional capital receipts forecast for 2021/22.</w:t>
      </w:r>
    </w:p>
    <w:p w:rsidR="0046463C" w:rsidRDefault="00390D21" w:rsidP="0046463C">
      <w:pPr>
        <w:pStyle w:val="ListParagraph"/>
        <w:numPr>
          <w:ilvl w:val="0"/>
          <w:numId w:val="47"/>
        </w:numPr>
        <w:tabs>
          <w:tab w:val="left" w:pos="567"/>
          <w:tab w:val="left" w:pos="1134"/>
        </w:tabs>
        <w:spacing w:after="0"/>
        <w:ind w:left="567"/>
        <w:rPr>
          <w:rFonts w:cs="Arial"/>
        </w:rPr>
      </w:pPr>
      <w:r>
        <w:rPr>
          <w:rFonts w:cs="Arial"/>
        </w:rPr>
        <w:t>Additional costs in relation to ICT infrastructure, legal fees, and capital financing.</w:t>
      </w:r>
    </w:p>
    <w:p w:rsidR="0046463C" w:rsidRDefault="00390D21" w:rsidP="0046463C">
      <w:pPr>
        <w:pStyle w:val="ListParagraph"/>
        <w:numPr>
          <w:ilvl w:val="0"/>
          <w:numId w:val="47"/>
        </w:numPr>
        <w:tabs>
          <w:tab w:val="left" w:pos="567"/>
          <w:tab w:val="left" w:pos="1134"/>
        </w:tabs>
        <w:spacing w:after="0"/>
        <w:ind w:left="567"/>
        <w:rPr>
          <w:rFonts w:cs="Arial"/>
        </w:rPr>
      </w:pPr>
      <w:r>
        <w:rPr>
          <w:rFonts w:cs="Arial"/>
        </w:rPr>
        <w:t xml:space="preserve">Reduced income within education services. </w:t>
      </w:r>
    </w:p>
    <w:p w:rsidR="0046463C" w:rsidRPr="006824F7" w:rsidRDefault="00390D21" w:rsidP="0046463C">
      <w:pPr>
        <w:pStyle w:val="ListParagraph"/>
        <w:numPr>
          <w:ilvl w:val="0"/>
          <w:numId w:val="47"/>
        </w:numPr>
        <w:tabs>
          <w:tab w:val="left" w:pos="567"/>
          <w:tab w:val="left" w:pos="1134"/>
        </w:tabs>
        <w:spacing w:after="0"/>
        <w:ind w:left="567"/>
        <w:rPr>
          <w:rFonts w:cs="Arial"/>
        </w:rPr>
      </w:pPr>
      <w:r>
        <w:rPr>
          <w:rFonts w:cs="Arial"/>
        </w:rPr>
        <w:t>Additional savings identified mainly relating to the extension of current activity to identify and collect all income due to the council particularly across adult social care, along with a move, in common with man</w:t>
      </w:r>
      <w:r>
        <w:rPr>
          <w:rFonts w:cs="Arial"/>
        </w:rPr>
        <w:t xml:space="preserve">y authorities, to self-insurance of </w:t>
      </w:r>
      <w:r>
        <w:rPr>
          <w:rFonts w:cs="Arial"/>
        </w:rPr>
        <w:lastRenderedPageBreak/>
        <w:t xml:space="preserve">the waste facilities reflecting the increasing challenge of accessing cost-effective insurance provision in this sector. </w:t>
      </w:r>
    </w:p>
    <w:p w:rsidR="0046463C" w:rsidRPr="008E1CFA" w:rsidRDefault="00390D21" w:rsidP="0046463C">
      <w:pPr>
        <w:tabs>
          <w:tab w:val="left" w:pos="567"/>
          <w:tab w:val="left" w:pos="1134"/>
        </w:tabs>
        <w:spacing w:after="0"/>
        <w:rPr>
          <w:rFonts w:cs="Arial"/>
        </w:rPr>
      </w:pPr>
    </w:p>
    <w:p w:rsidR="0046463C" w:rsidRPr="008E1CFA" w:rsidRDefault="00390D21" w:rsidP="0046463C">
      <w:pPr>
        <w:tabs>
          <w:tab w:val="left" w:pos="567"/>
          <w:tab w:val="left" w:pos="1134"/>
        </w:tabs>
        <w:spacing w:after="0"/>
        <w:rPr>
          <w:rFonts w:cs="Arial"/>
        </w:rPr>
      </w:pPr>
      <w:r w:rsidRPr="006E0596">
        <w:rPr>
          <w:rFonts w:cs="Arial"/>
        </w:rPr>
        <w:t>The Tier system across England is being regularly reviewed and announcements and decisions made d</w:t>
      </w:r>
      <w:r w:rsidRPr="006E0596">
        <w:rPr>
          <w:rFonts w:cs="Arial"/>
        </w:rPr>
        <w:t>ependent upon a number of factors. Currently,  Lancashire is</w:t>
      </w:r>
      <w:r w:rsidRPr="006E0596">
        <w:rPr>
          <w:rFonts w:cs="Arial"/>
        </w:rPr>
        <w:t xml:space="preserve"> within Tier 4</w:t>
      </w:r>
      <w:r w:rsidRPr="006E0596">
        <w:rPr>
          <w:rFonts w:cs="Arial"/>
        </w:rPr>
        <w:t xml:space="preserve"> of local restrictions, with further funding received, analysis over coming months will be required to fully assess the impact of these restrictions (and any future further or reduce</w:t>
      </w:r>
      <w:r w:rsidRPr="006E0596">
        <w:rPr>
          <w:rFonts w:cs="Arial"/>
        </w:rPr>
        <w:t>d restrictions) and the longer term impact on the county council's financial projections.</w:t>
      </w:r>
      <w:r w:rsidRPr="008E1CFA">
        <w:rPr>
          <w:rFonts w:cs="Arial"/>
        </w:rPr>
        <w:t xml:space="preserve"> </w:t>
      </w:r>
    </w:p>
    <w:p w:rsidR="0046463C" w:rsidRPr="008E1CFA" w:rsidRDefault="00390D21" w:rsidP="0046463C">
      <w:pPr>
        <w:spacing w:after="0"/>
        <w:rPr>
          <w:rFonts w:cs="Arial"/>
        </w:rPr>
      </w:pPr>
    </w:p>
    <w:p w:rsidR="0046463C" w:rsidRPr="008E1CFA" w:rsidRDefault="00390D21" w:rsidP="0046463C">
      <w:pPr>
        <w:spacing w:after="0"/>
        <w:rPr>
          <w:rFonts w:cs="Arial"/>
        </w:rPr>
      </w:pPr>
      <w:r w:rsidRPr="008E1CFA">
        <w:rPr>
          <w:rFonts w:cs="Arial"/>
        </w:rPr>
        <w:t>In arriving at the revised funding gap it has been necessary to make assumptions about future funding levels and there remains significant uncertainty about this go</w:t>
      </w:r>
      <w:r w:rsidRPr="008E1CFA">
        <w:rPr>
          <w:rFonts w:cs="Arial"/>
        </w:rPr>
        <w:t>ing forward. With the changes to be made in respect of business rates retention, and the overall funding formula which have b</w:t>
      </w:r>
      <w:r>
        <w:rPr>
          <w:rFonts w:cs="Arial"/>
        </w:rPr>
        <w:t xml:space="preserve">een delayed for a further year and </w:t>
      </w:r>
      <w:r w:rsidRPr="008E1CFA">
        <w:rPr>
          <w:rFonts w:cs="Arial"/>
        </w:rPr>
        <w:t xml:space="preserve">the anticipated green paper on adult social care </w:t>
      </w:r>
      <w:r>
        <w:rPr>
          <w:rFonts w:cs="Arial"/>
        </w:rPr>
        <w:t>could all impact on our fu</w:t>
      </w:r>
      <w:r w:rsidRPr="008E1CFA">
        <w:rPr>
          <w:rFonts w:cs="Arial"/>
        </w:rPr>
        <w:t xml:space="preserve">ture funding </w:t>
      </w:r>
      <w:r>
        <w:rPr>
          <w:rFonts w:cs="Arial"/>
        </w:rPr>
        <w:t>in the l</w:t>
      </w:r>
      <w:r>
        <w:rPr>
          <w:rFonts w:cs="Arial"/>
        </w:rPr>
        <w:t>ater years of the MTFS</w:t>
      </w:r>
      <w:r w:rsidRPr="008E1CFA">
        <w:rPr>
          <w:rFonts w:cs="Arial"/>
        </w:rPr>
        <w:t>.</w:t>
      </w:r>
    </w:p>
    <w:p w:rsidR="0046463C" w:rsidRPr="008E1CFA" w:rsidRDefault="00390D21" w:rsidP="0046463C">
      <w:pPr>
        <w:spacing w:after="0"/>
        <w:rPr>
          <w:rFonts w:cs="Arial"/>
        </w:rPr>
      </w:pPr>
    </w:p>
    <w:p w:rsidR="0046463C" w:rsidRPr="001D6211" w:rsidRDefault="00390D21" w:rsidP="0046463C">
      <w:pPr>
        <w:autoSpaceDE/>
        <w:autoSpaceDN/>
        <w:adjustRightInd/>
        <w:spacing w:after="0"/>
        <w:textAlignment w:val="baseline"/>
        <w:rPr>
          <w:rFonts w:cs="Arial"/>
        </w:rPr>
      </w:pPr>
      <w:r w:rsidRPr="008E1CFA">
        <w:rPr>
          <w:rFonts w:cs="Arial"/>
        </w:rPr>
        <w:t xml:space="preserve">The value of the uncommitted transitional reserve is currently forecast to be sufficient to meet the identified funding gaps for </w:t>
      </w:r>
      <w:r>
        <w:rPr>
          <w:rFonts w:cs="Arial"/>
        </w:rPr>
        <w:t xml:space="preserve">the full period of the </w:t>
      </w:r>
      <w:r w:rsidRPr="008E1CFA">
        <w:rPr>
          <w:rFonts w:cs="Arial"/>
        </w:rPr>
        <w:t>MTFS, which provides time to address the structural deficit in a considered and</w:t>
      </w:r>
      <w:r w:rsidRPr="008E1CFA">
        <w:rPr>
          <w:rFonts w:cs="Arial"/>
        </w:rPr>
        <w:t xml:space="preserve"> sustainable way. We will look to maximise efficiencies across services and commence work to id</w:t>
      </w:r>
      <w:r>
        <w:rPr>
          <w:rFonts w:cs="Arial"/>
        </w:rPr>
        <w:t xml:space="preserve">entify potential savings to reduce the funding gap. </w:t>
      </w:r>
    </w:p>
    <w:p w:rsidR="0046463C" w:rsidRPr="00E95F45" w:rsidRDefault="00390D21" w:rsidP="0046463C">
      <w:pPr>
        <w:autoSpaceDE/>
        <w:autoSpaceDN/>
        <w:adjustRightInd/>
        <w:spacing w:after="0"/>
        <w:textAlignment w:val="baseline"/>
        <w:rPr>
          <w:rFonts w:cs="Arial"/>
          <w:highlight w:val="yellow"/>
        </w:rPr>
      </w:pPr>
      <w:r w:rsidRPr="00E95F45">
        <w:rPr>
          <w:rFonts w:cs="Arial"/>
          <w:highlight w:val="yellow"/>
        </w:rPr>
        <w:t xml:space="preserve"> </w:t>
      </w:r>
    </w:p>
    <w:p w:rsidR="0046463C" w:rsidRDefault="00390D21" w:rsidP="0046463C">
      <w:pPr>
        <w:autoSpaceDE/>
        <w:autoSpaceDN/>
        <w:adjustRightInd/>
        <w:spacing w:after="0"/>
        <w:textAlignment w:val="baseline"/>
        <w:rPr>
          <w:rFonts w:cs="Arial"/>
          <w:highlight w:val="yellow"/>
        </w:rPr>
      </w:pPr>
    </w:p>
    <w:p w:rsidR="0046463C" w:rsidRDefault="00390D21" w:rsidP="0046463C">
      <w:pPr>
        <w:autoSpaceDE/>
        <w:autoSpaceDN/>
        <w:adjustRightInd/>
        <w:spacing w:after="0"/>
        <w:textAlignment w:val="baseline"/>
        <w:rPr>
          <w:rFonts w:cs="Arial"/>
          <w:highlight w:val="yellow"/>
        </w:rPr>
      </w:pPr>
    </w:p>
    <w:p w:rsidR="0046463C" w:rsidRDefault="00390D21" w:rsidP="0046463C">
      <w:pPr>
        <w:autoSpaceDE/>
        <w:autoSpaceDN/>
        <w:adjustRightInd/>
        <w:spacing w:after="0"/>
        <w:textAlignment w:val="baseline"/>
        <w:rPr>
          <w:rFonts w:cs="Arial"/>
          <w:highlight w:val="yellow"/>
        </w:rPr>
      </w:pPr>
    </w:p>
    <w:p w:rsidR="0046463C" w:rsidRDefault="00390D21" w:rsidP="0046463C">
      <w:pPr>
        <w:autoSpaceDE/>
        <w:autoSpaceDN/>
        <w:adjustRightInd/>
        <w:spacing w:after="0"/>
        <w:textAlignment w:val="baseline"/>
        <w:rPr>
          <w:rFonts w:cs="Arial"/>
          <w:highlight w:val="yellow"/>
        </w:rPr>
      </w:pPr>
    </w:p>
    <w:p w:rsidR="0046463C" w:rsidRDefault="00390D21" w:rsidP="0046463C">
      <w:pPr>
        <w:autoSpaceDE/>
        <w:autoSpaceDN/>
        <w:adjustRightInd/>
        <w:spacing w:after="0"/>
        <w:textAlignment w:val="baseline"/>
        <w:rPr>
          <w:rFonts w:cs="Arial"/>
          <w:highlight w:val="yellow"/>
        </w:rPr>
      </w:pPr>
    </w:p>
    <w:p w:rsidR="0046463C" w:rsidRDefault="00390D21" w:rsidP="0046463C">
      <w:pPr>
        <w:autoSpaceDE/>
        <w:autoSpaceDN/>
        <w:adjustRightInd/>
        <w:spacing w:after="0"/>
        <w:textAlignment w:val="baseline"/>
        <w:rPr>
          <w:rFonts w:cs="Arial"/>
          <w:highlight w:val="yellow"/>
        </w:rPr>
      </w:pPr>
    </w:p>
    <w:p w:rsidR="0046463C" w:rsidRDefault="00390D21" w:rsidP="0046463C">
      <w:pPr>
        <w:autoSpaceDE/>
        <w:autoSpaceDN/>
        <w:adjustRightInd/>
        <w:spacing w:after="0"/>
        <w:textAlignment w:val="baseline"/>
        <w:rPr>
          <w:rFonts w:cs="Arial"/>
          <w:highlight w:val="yellow"/>
        </w:rPr>
      </w:pPr>
    </w:p>
    <w:p w:rsidR="0046463C" w:rsidRDefault="00390D21" w:rsidP="0046463C">
      <w:pPr>
        <w:autoSpaceDE/>
        <w:autoSpaceDN/>
        <w:adjustRightInd/>
        <w:spacing w:after="0"/>
        <w:textAlignment w:val="baseline"/>
        <w:rPr>
          <w:rFonts w:cs="Arial"/>
          <w:highlight w:val="yellow"/>
        </w:rPr>
      </w:pPr>
    </w:p>
    <w:p w:rsidR="0046463C" w:rsidRDefault="00390D21" w:rsidP="0046463C">
      <w:pPr>
        <w:autoSpaceDE/>
        <w:autoSpaceDN/>
        <w:adjustRightInd/>
        <w:spacing w:after="0"/>
        <w:textAlignment w:val="baseline"/>
        <w:rPr>
          <w:rFonts w:cs="Arial"/>
          <w:highlight w:val="yellow"/>
        </w:rPr>
      </w:pPr>
    </w:p>
    <w:p w:rsidR="0046463C" w:rsidRDefault="00390D21" w:rsidP="0046463C">
      <w:pPr>
        <w:autoSpaceDE/>
        <w:autoSpaceDN/>
        <w:adjustRightInd/>
        <w:spacing w:after="0"/>
        <w:textAlignment w:val="baseline"/>
        <w:rPr>
          <w:rFonts w:cs="Arial"/>
          <w:highlight w:val="yellow"/>
        </w:rPr>
      </w:pPr>
    </w:p>
    <w:p w:rsidR="0046463C" w:rsidRDefault="00390D21" w:rsidP="0046463C">
      <w:pPr>
        <w:autoSpaceDE/>
        <w:autoSpaceDN/>
        <w:adjustRightInd/>
        <w:spacing w:after="0"/>
        <w:textAlignment w:val="baseline"/>
        <w:rPr>
          <w:rFonts w:cs="Arial"/>
          <w:highlight w:val="yellow"/>
        </w:rPr>
      </w:pPr>
    </w:p>
    <w:p w:rsidR="0046463C" w:rsidRDefault="00390D21" w:rsidP="0046463C">
      <w:pPr>
        <w:autoSpaceDE/>
        <w:autoSpaceDN/>
        <w:adjustRightInd/>
        <w:spacing w:after="0"/>
        <w:textAlignment w:val="baseline"/>
        <w:rPr>
          <w:rFonts w:cs="Arial"/>
          <w:highlight w:val="yellow"/>
        </w:rPr>
      </w:pPr>
    </w:p>
    <w:p w:rsidR="0046463C" w:rsidRDefault="00390D21" w:rsidP="0046463C">
      <w:pPr>
        <w:autoSpaceDE/>
        <w:autoSpaceDN/>
        <w:adjustRightInd/>
        <w:spacing w:after="0"/>
        <w:textAlignment w:val="baseline"/>
        <w:rPr>
          <w:rFonts w:cs="Arial"/>
          <w:highlight w:val="yellow"/>
        </w:rPr>
      </w:pPr>
    </w:p>
    <w:p w:rsidR="0046463C" w:rsidRDefault="00390D21" w:rsidP="0046463C">
      <w:pPr>
        <w:autoSpaceDE/>
        <w:autoSpaceDN/>
        <w:adjustRightInd/>
        <w:spacing w:after="0"/>
        <w:textAlignment w:val="baseline"/>
        <w:rPr>
          <w:rFonts w:cs="Arial"/>
          <w:highlight w:val="yellow"/>
        </w:rPr>
      </w:pPr>
    </w:p>
    <w:p w:rsidR="0046463C" w:rsidRDefault="00390D21" w:rsidP="0046463C">
      <w:pPr>
        <w:autoSpaceDE/>
        <w:autoSpaceDN/>
        <w:adjustRightInd/>
        <w:spacing w:after="0"/>
        <w:textAlignment w:val="baseline"/>
        <w:rPr>
          <w:rFonts w:cs="Arial"/>
          <w:highlight w:val="yellow"/>
        </w:rPr>
      </w:pPr>
    </w:p>
    <w:p w:rsidR="0046463C" w:rsidRDefault="00390D21" w:rsidP="0046463C">
      <w:pPr>
        <w:autoSpaceDE/>
        <w:autoSpaceDN/>
        <w:adjustRightInd/>
        <w:spacing w:after="0"/>
        <w:textAlignment w:val="baseline"/>
        <w:rPr>
          <w:rFonts w:cs="Arial"/>
          <w:highlight w:val="yellow"/>
        </w:rPr>
      </w:pPr>
    </w:p>
    <w:p w:rsidR="0046463C" w:rsidRDefault="00390D21" w:rsidP="0046463C">
      <w:pPr>
        <w:autoSpaceDE/>
        <w:autoSpaceDN/>
        <w:adjustRightInd/>
        <w:spacing w:after="0"/>
        <w:textAlignment w:val="baseline"/>
        <w:rPr>
          <w:rFonts w:cs="Arial"/>
          <w:highlight w:val="yellow"/>
        </w:rPr>
      </w:pPr>
    </w:p>
    <w:p w:rsidR="0046463C" w:rsidRDefault="00390D21" w:rsidP="0046463C">
      <w:pPr>
        <w:autoSpaceDE/>
        <w:autoSpaceDN/>
        <w:adjustRightInd/>
        <w:spacing w:after="0"/>
        <w:textAlignment w:val="baseline"/>
        <w:rPr>
          <w:rFonts w:cs="Arial"/>
          <w:highlight w:val="yellow"/>
        </w:rPr>
      </w:pPr>
    </w:p>
    <w:p w:rsidR="0046463C" w:rsidRDefault="00390D21" w:rsidP="0046463C">
      <w:pPr>
        <w:autoSpaceDE/>
        <w:autoSpaceDN/>
        <w:adjustRightInd/>
        <w:spacing w:after="0"/>
        <w:textAlignment w:val="baseline"/>
        <w:rPr>
          <w:rFonts w:cs="Arial"/>
          <w:highlight w:val="yellow"/>
        </w:rPr>
      </w:pPr>
    </w:p>
    <w:p w:rsidR="0046463C" w:rsidRDefault="00390D21" w:rsidP="0046463C">
      <w:pPr>
        <w:autoSpaceDE/>
        <w:autoSpaceDN/>
        <w:adjustRightInd/>
        <w:spacing w:after="0"/>
        <w:textAlignment w:val="baseline"/>
        <w:rPr>
          <w:rFonts w:cs="Arial"/>
          <w:highlight w:val="yellow"/>
        </w:rPr>
      </w:pPr>
    </w:p>
    <w:p w:rsidR="0046463C" w:rsidRDefault="00390D21" w:rsidP="0046463C">
      <w:pPr>
        <w:autoSpaceDE/>
        <w:autoSpaceDN/>
        <w:adjustRightInd/>
        <w:spacing w:after="0"/>
        <w:textAlignment w:val="baseline"/>
        <w:rPr>
          <w:rFonts w:cs="Arial"/>
          <w:highlight w:val="yellow"/>
        </w:rPr>
      </w:pPr>
    </w:p>
    <w:p w:rsidR="0046463C" w:rsidRDefault="00390D21" w:rsidP="0046463C">
      <w:pPr>
        <w:autoSpaceDE/>
        <w:autoSpaceDN/>
        <w:adjustRightInd/>
        <w:spacing w:after="0"/>
        <w:textAlignment w:val="baseline"/>
        <w:rPr>
          <w:rFonts w:cs="Arial"/>
          <w:highlight w:val="yellow"/>
        </w:rPr>
      </w:pPr>
    </w:p>
    <w:p w:rsidR="0046463C" w:rsidRDefault="00390D21" w:rsidP="0046463C">
      <w:pPr>
        <w:autoSpaceDE/>
        <w:autoSpaceDN/>
        <w:adjustRightInd/>
        <w:spacing w:after="0"/>
        <w:textAlignment w:val="baseline"/>
        <w:rPr>
          <w:rFonts w:cs="Arial"/>
          <w:highlight w:val="yellow"/>
        </w:rPr>
      </w:pPr>
    </w:p>
    <w:p w:rsidR="0046463C" w:rsidRDefault="00390D21" w:rsidP="0046463C">
      <w:pPr>
        <w:autoSpaceDE/>
        <w:autoSpaceDN/>
        <w:adjustRightInd/>
        <w:spacing w:after="0"/>
        <w:textAlignment w:val="baseline"/>
        <w:rPr>
          <w:rFonts w:cs="Arial"/>
          <w:highlight w:val="yellow"/>
        </w:rPr>
      </w:pPr>
    </w:p>
    <w:p w:rsidR="0046463C" w:rsidRDefault="00390D21" w:rsidP="0046463C">
      <w:pPr>
        <w:autoSpaceDE/>
        <w:autoSpaceDN/>
        <w:adjustRightInd/>
        <w:spacing w:after="0"/>
        <w:textAlignment w:val="baseline"/>
        <w:rPr>
          <w:rFonts w:cs="Arial"/>
          <w:highlight w:val="yellow"/>
        </w:rPr>
      </w:pPr>
    </w:p>
    <w:p w:rsidR="0046463C" w:rsidRDefault="00390D21" w:rsidP="0046463C">
      <w:pPr>
        <w:autoSpaceDE/>
        <w:autoSpaceDN/>
        <w:adjustRightInd/>
        <w:spacing w:after="0"/>
        <w:textAlignment w:val="baseline"/>
        <w:rPr>
          <w:rFonts w:cs="Arial"/>
          <w:highlight w:val="yellow"/>
        </w:rPr>
      </w:pPr>
    </w:p>
    <w:p w:rsidR="00725B52" w:rsidRDefault="00390D21" w:rsidP="0046463C">
      <w:pPr>
        <w:autoSpaceDE/>
        <w:autoSpaceDN/>
        <w:adjustRightInd/>
        <w:spacing w:after="0"/>
        <w:textAlignment w:val="baseline"/>
        <w:rPr>
          <w:rFonts w:cs="Arial"/>
          <w:highlight w:val="yellow"/>
        </w:rPr>
      </w:pPr>
    </w:p>
    <w:p w:rsidR="0046463C" w:rsidRPr="001D6211" w:rsidRDefault="00390D21" w:rsidP="0046463C">
      <w:pPr>
        <w:autoSpaceDE/>
        <w:autoSpaceDN/>
        <w:adjustRightInd/>
        <w:spacing w:after="0"/>
        <w:textAlignment w:val="baseline"/>
        <w:rPr>
          <w:rFonts w:cs="Arial"/>
        </w:rPr>
      </w:pPr>
      <w:r w:rsidRPr="001D6211">
        <w:rPr>
          <w:rFonts w:cs="Arial"/>
        </w:rPr>
        <w:lastRenderedPageBreak/>
        <w:t xml:space="preserve">The table below provides a detailed analysis of movements between the previously reported financial gap and the revised financial gap: </w:t>
      </w:r>
    </w:p>
    <w:p w:rsidR="0046463C" w:rsidRPr="00E95F45" w:rsidRDefault="00390D21" w:rsidP="0046463C">
      <w:pPr>
        <w:spacing w:after="0"/>
        <w:rPr>
          <w:rFonts w:cs="Arial"/>
          <w:highlight w:val="yellow"/>
        </w:rPr>
      </w:pPr>
    </w:p>
    <w:p w:rsidR="0046463C" w:rsidRDefault="00390D21" w:rsidP="0046463C">
      <w:pPr>
        <w:spacing w:after="0"/>
        <w:rPr>
          <w:rFonts w:cs="Arial"/>
          <w:b/>
          <w:i/>
          <w:u w:val="single"/>
        </w:rPr>
      </w:pPr>
      <w:r w:rsidRPr="00DF5452">
        <w:rPr>
          <w:rFonts w:cs="Arial"/>
          <w:b/>
          <w:i/>
          <w:u w:val="single"/>
        </w:rPr>
        <w:t>Table 1</w:t>
      </w:r>
    </w:p>
    <w:p w:rsidR="0046463C" w:rsidRPr="00DF5452" w:rsidRDefault="00390D21" w:rsidP="0046463C">
      <w:pPr>
        <w:spacing w:after="0"/>
        <w:rPr>
          <w:rFonts w:cs="Arial"/>
        </w:rPr>
      </w:pPr>
    </w:p>
    <w:tbl>
      <w:tblPr>
        <w:tblW w:w="10120" w:type="dxa"/>
        <w:tblLook w:val="04A0" w:firstRow="1" w:lastRow="0" w:firstColumn="1" w:lastColumn="0" w:noHBand="0" w:noVBand="1"/>
      </w:tblPr>
      <w:tblGrid>
        <w:gridCol w:w="5230"/>
        <w:gridCol w:w="330"/>
        <w:gridCol w:w="1140"/>
        <w:gridCol w:w="1140"/>
        <w:gridCol w:w="1140"/>
        <w:gridCol w:w="1140"/>
      </w:tblGrid>
      <w:tr w:rsidR="00C3717D" w:rsidTr="0046463C">
        <w:trPr>
          <w:trHeight w:val="300"/>
        </w:trPr>
        <w:tc>
          <w:tcPr>
            <w:tcW w:w="5230" w:type="dxa"/>
            <w:tcBorders>
              <w:top w:val="single" w:sz="8" w:space="0" w:color="auto"/>
              <w:left w:val="single" w:sz="12" w:space="0" w:color="auto"/>
              <w:bottom w:val="nil"/>
              <w:right w:val="single" w:sz="8" w:space="0" w:color="auto"/>
            </w:tcBorders>
            <w:shd w:val="clear" w:color="000000" w:fill="BDD7EE"/>
            <w:hideMark/>
          </w:tcPr>
          <w:p w:rsidR="0046463C" w:rsidRPr="00500414" w:rsidRDefault="00390D21" w:rsidP="0046463C">
            <w:pPr>
              <w:autoSpaceDE/>
              <w:autoSpaceDN/>
              <w:adjustRightInd/>
              <w:spacing w:after="0"/>
              <w:jc w:val="left"/>
              <w:rPr>
                <w:rFonts w:eastAsia="Times New Roman" w:cs="Arial"/>
                <w:lang w:eastAsia="en-GB"/>
              </w:rPr>
            </w:pPr>
            <w:r w:rsidRPr="00500414">
              <w:rPr>
                <w:rFonts w:eastAsia="Times New Roman" w:cs="Arial"/>
                <w:lang w:eastAsia="en-GB"/>
              </w:rPr>
              <w:t> </w:t>
            </w:r>
          </w:p>
        </w:tc>
        <w:tc>
          <w:tcPr>
            <w:tcW w:w="330" w:type="dxa"/>
            <w:tcBorders>
              <w:top w:val="single" w:sz="8" w:space="0" w:color="auto"/>
              <w:left w:val="nil"/>
              <w:bottom w:val="nil"/>
              <w:right w:val="single" w:sz="8" w:space="0" w:color="auto"/>
            </w:tcBorders>
            <w:shd w:val="clear" w:color="000000" w:fill="BDD7EE"/>
            <w:vAlign w:val="center"/>
            <w:hideMark/>
          </w:tcPr>
          <w:p w:rsidR="0046463C" w:rsidRPr="00500414" w:rsidRDefault="00390D21" w:rsidP="0046463C">
            <w:pPr>
              <w:autoSpaceDE/>
              <w:autoSpaceDN/>
              <w:adjustRightInd/>
              <w:spacing w:after="0"/>
              <w:jc w:val="center"/>
              <w:rPr>
                <w:rFonts w:eastAsia="Times New Roman" w:cs="Arial"/>
                <w:b/>
                <w:bCs/>
                <w:lang w:eastAsia="en-GB"/>
              </w:rPr>
            </w:pPr>
            <w:r w:rsidRPr="00500414">
              <w:rPr>
                <w:rFonts w:eastAsia="Times New Roman" w:cs="Arial"/>
                <w:b/>
                <w:bCs/>
                <w:lang w:eastAsia="en-GB"/>
              </w:rPr>
              <w:t> </w:t>
            </w:r>
          </w:p>
        </w:tc>
        <w:tc>
          <w:tcPr>
            <w:tcW w:w="1140" w:type="dxa"/>
            <w:tcBorders>
              <w:top w:val="single" w:sz="8" w:space="0" w:color="auto"/>
              <w:left w:val="nil"/>
              <w:bottom w:val="nil"/>
              <w:right w:val="single" w:sz="8" w:space="0" w:color="auto"/>
            </w:tcBorders>
            <w:shd w:val="clear" w:color="000000" w:fill="BDD7EE"/>
            <w:vAlign w:val="center"/>
            <w:hideMark/>
          </w:tcPr>
          <w:p w:rsidR="0046463C" w:rsidRPr="00500414" w:rsidRDefault="00390D21" w:rsidP="0046463C">
            <w:pPr>
              <w:autoSpaceDE/>
              <w:autoSpaceDN/>
              <w:adjustRightInd/>
              <w:spacing w:after="0"/>
              <w:jc w:val="center"/>
              <w:rPr>
                <w:rFonts w:eastAsia="Times New Roman" w:cs="Arial"/>
                <w:b/>
                <w:bCs/>
                <w:lang w:eastAsia="en-GB"/>
              </w:rPr>
            </w:pPr>
            <w:r w:rsidRPr="00500414">
              <w:rPr>
                <w:rFonts w:eastAsia="Times New Roman" w:cs="Arial"/>
                <w:b/>
                <w:bCs/>
                <w:lang w:eastAsia="en-GB"/>
              </w:rPr>
              <w:t>2021/22</w:t>
            </w:r>
          </w:p>
        </w:tc>
        <w:tc>
          <w:tcPr>
            <w:tcW w:w="1140" w:type="dxa"/>
            <w:tcBorders>
              <w:top w:val="single" w:sz="8" w:space="0" w:color="auto"/>
              <w:left w:val="nil"/>
              <w:bottom w:val="nil"/>
              <w:right w:val="single" w:sz="8" w:space="0" w:color="auto"/>
            </w:tcBorders>
            <w:shd w:val="clear" w:color="000000" w:fill="BDD7EE"/>
            <w:vAlign w:val="center"/>
            <w:hideMark/>
          </w:tcPr>
          <w:p w:rsidR="0046463C" w:rsidRPr="00500414" w:rsidRDefault="00390D21" w:rsidP="0046463C">
            <w:pPr>
              <w:autoSpaceDE/>
              <w:autoSpaceDN/>
              <w:adjustRightInd/>
              <w:spacing w:after="0"/>
              <w:jc w:val="center"/>
              <w:rPr>
                <w:rFonts w:eastAsia="Times New Roman" w:cs="Arial"/>
                <w:b/>
                <w:bCs/>
                <w:lang w:eastAsia="en-GB"/>
              </w:rPr>
            </w:pPr>
            <w:r w:rsidRPr="00500414">
              <w:rPr>
                <w:rFonts w:eastAsia="Times New Roman" w:cs="Arial"/>
                <w:b/>
                <w:bCs/>
                <w:lang w:eastAsia="en-GB"/>
              </w:rPr>
              <w:t>2022/23</w:t>
            </w:r>
          </w:p>
        </w:tc>
        <w:tc>
          <w:tcPr>
            <w:tcW w:w="1140" w:type="dxa"/>
            <w:tcBorders>
              <w:top w:val="single" w:sz="8" w:space="0" w:color="auto"/>
              <w:left w:val="nil"/>
              <w:bottom w:val="nil"/>
              <w:right w:val="single" w:sz="8" w:space="0" w:color="auto"/>
            </w:tcBorders>
            <w:shd w:val="clear" w:color="000000" w:fill="BDD7EE"/>
            <w:vAlign w:val="center"/>
            <w:hideMark/>
          </w:tcPr>
          <w:p w:rsidR="0046463C" w:rsidRPr="00500414" w:rsidRDefault="00390D21" w:rsidP="0046463C">
            <w:pPr>
              <w:autoSpaceDE/>
              <w:autoSpaceDN/>
              <w:adjustRightInd/>
              <w:spacing w:after="0"/>
              <w:jc w:val="center"/>
              <w:rPr>
                <w:rFonts w:eastAsia="Times New Roman" w:cs="Arial"/>
                <w:b/>
                <w:bCs/>
                <w:lang w:eastAsia="en-GB"/>
              </w:rPr>
            </w:pPr>
            <w:r w:rsidRPr="00500414">
              <w:rPr>
                <w:rFonts w:eastAsia="Times New Roman" w:cs="Arial"/>
                <w:b/>
                <w:bCs/>
                <w:lang w:eastAsia="en-GB"/>
              </w:rPr>
              <w:t>2023/24</w:t>
            </w:r>
          </w:p>
        </w:tc>
        <w:tc>
          <w:tcPr>
            <w:tcW w:w="1140" w:type="dxa"/>
            <w:tcBorders>
              <w:top w:val="single" w:sz="8" w:space="0" w:color="auto"/>
              <w:left w:val="nil"/>
              <w:bottom w:val="nil"/>
              <w:right w:val="single" w:sz="12" w:space="0" w:color="auto"/>
            </w:tcBorders>
            <w:shd w:val="clear" w:color="000000" w:fill="BDD7EE"/>
            <w:vAlign w:val="center"/>
            <w:hideMark/>
          </w:tcPr>
          <w:p w:rsidR="0046463C" w:rsidRPr="00500414" w:rsidRDefault="00390D21" w:rsidP="0046463C">
            <w:pPr>
              <w:autoSpaceDE/>
              <w:autoSpaceDN/>
              <w:adjustRightInd/>
              <w:spacing w:after="0"/>
              <w:jc w:val="center"/>
              <w:rPr>
                <w:rFonts w:eastAsia="Times New Roman" w:cs="Arial"/>
                <w:b/>
                <w:bCs/>
                <w:lang w:eastAsia="en-GB"/>
              </w:rPr>
            </w:pPr>
            <w:r w:rsidRPr="00500414">
              <w:rPr>
                <w:rFonts w:eastAsia="Times New Roman" w:cs="Arial"/>
                <w:b/>
                <w:bCs/>
                <w:lang w:eastAsia="en-GB"/>
              </w:rPr>
              <w:t>Total</w:t>
            </w:r>
          </w:p>
        </w:tc>
      </w:tr>
      <w:tr w:rsidR="00C3717D" w:rsidTr="0046463C">
        <w:trPr>
          <w:trHeight w:val="315"/>
        </w:trPr>
        <w:tc>
          <w:tcPr>
            <w:tcW w:w="5230" w:type="dxa"/>
            <w:tcBorders>
              <w:top w:val="nil"/>
              <w:left w:val="single" w:sz="12" w:space="0" w:color="auto"/>
              <w:bottom w:val="single" w:sz="8" w:space="0" w:color="auto"/>
              <w:right w:val="single" w:sz="8" w:space="0" w:color="auto"/>
            </w:tcBorders>
            <w:shd w:val="clear" w:color="000000" w:fill="BDD7EE"/>
            <w:hideMark/>
          </w:tcPr>
          <w:p w:rsidR="0046463C" w:rsidRPr="00500414" w:rsidRDefault="00390D21" w:rsidP="0046463C">
            <w:pPr>
              <w:autoSpaceDE/>
              <w:autoSpaceDN/>
              <w:adjustRightInd/>
              <w:spacing w:after="0"/>
              <w:jc w:val="left"/>
              <w:rPr>
                <w:rFonts w:eastAsia="Times New Roman" w:cs="Arial"/>
                <w:lang w:eastAsia="en-GB"/>
              </w:rPr>
            </w:pPr>
            <w:r w:rsidRPr="00500414">
              <w:rPr>
                <w:rFonts w:eastAsia="Times New Roman" w:cs="Arial"/>
                <w:lang w:eastAsia="en-GB"/>
              </w:rPr>
              <w:t> </w:t>
            </w:r>
          </w:p>
        </w:tc>
        <w:tc>
          <w:tcPr>
            <w:tcW w:w="330" w:type="dxa"/>
            <w:tcBorders>
              <w:top w:val="nil"/>
              <w:left w:val="nil"/>
              <w:bottom w:val="single" w:sz="8" w:space="0" w:color="auto"/>
              <w:right w:val="single" w:sz="8" w:space="0" w:color="auto"/>
            </w:tcBorders>
            <w:shd w:val="clear" w:color="000000" w:fill="BDD7EE"/>
            <w:vAlign w:val="center"/>
            <w:hideMark/>
          </w:tcPr>
          <w:p w:rsidR="0046463C" w:rsidRPr="00500414" w:rsidRDefault="00390D21" w:rsidP="0046463C">
            <w:pPr>
              <w:autoSpaceDE/>
              <w:autoSpaceDN/>
              <w:adjustRightInd/>
              <w:spacing w:after="0"/>
              <w:jc w:val="center"/>
              <w:rPr>
                <w:rFonts w:eastAsia="Times New Roman" w:cs="Arial"/>
                <w:b/>
                <w:bCs/>
                <w:lang w:eastAsia="en-GB"/>
              </w:rPr>
            </w:pPr>
            <w:r w:rsidRPr="00500414">
              <w:rPr>
                <w:rFonts w:eastAsia="Times New Roman" w:cs="Arial"/>
                <w:b/>
                <w:bCs/>
                <w:lang w:eastAsia="en-GB"/>
              </w:rPr>
              <w:t> </w:t>
            </w:r>
          </w:p>
        </w:tc>
        <w:tc>
          <w:tcPr>
            <w:tcW w:w="1140" w:type="dxa"/>
            <w:tcBorders>
              <w:top w:val="nil"/>
              <w:left w:val="nil"/>
              <w:bottom w:val="single" w:sz="8" w:space="0" w:color="auto"/>
              <w:right w:val="single" w:sz="8" w:space="0" w:color="auto"/>
            </w:tcBorders>
            <w:shd w:val="clear" w:color="000000" w:fill="BDD7EE"/>
            <w:vAlign w:val="center"/>
            <w:hideMark/>
          </w:tcPr>
          <w:p w:rsidR="0046463C" w:rsidRPr="00500414" w:rsidRDefault="00390D21" w:rsidP="0046463C">
            <w:pPr>
              <w:autoSpaceDE/>
              <w:autoSpaceDN/>
              <w:adjustRightInd/>
              <w:spacing w:after="0"/>
              <w:jc w:val="center"/>
              <w:rPr>
                <w:rFonts w:eastAsia="Times New Roman" w:cs="Arial"/>
                <w:b/>
                <w:bCs/>
                <w:lang w:eastAsia="en-GB"/>
              </w:rPr>
            </w:pPr>
            <w:r w:rsidRPr="00500414">
              <w:rPr>
                <w:rFonts w:eastAsia="Times New Roman" w:cs="Arial"/>
                <w:b/>
                <w:bCs/>
                <w:lang w:eastAsia="en-GB"/>
              </w:rPr>
              <w:t>£m</w:t>
            </w:r>
          </w:p>
        </w:tc>
        <w:tc>
          <w:tcPr>
            <w:tcW w:w="1140" w:type="dxa"/>
            <w:tcBorders>
              <w:top w:val="nil"/>
              <w:left w:val="nil"/>
              <w:bottom w:val="single" w:sz="8" w:space="0" w:color="auto"/>
              <w:right w:val="single" w:sz="8" w:space="0" w:color="auto"/>
            </w:tcBorders>
            <w:shd w:val="clear" w:color="000000" w:fill="BDD7EE"/>
            <w:vAlign w:val="center"/>
            <w:hideMark/>
          </w:tcPr>
          <w:p w:rsidR="0046463C" w:rsidRPr="00500414" w:rsidRDefault="00390D21" w:rsidP="0046463C">
            <w:pPr>
              <w:autoSpaceDE/>
              <w:autoSpaceDN/>
              <w:adjustRightInd/>
              <w:spacing w:after="0"/>
              <w:jc w:val="center"/>
              <w:rPr>
                <w:rFonts w:eastAsia="Times New Roman" w:cs="Arial"/>
                <w:b/>
                <w:bCs/>
                <w:lang w:eastAsia="en-GB"/>
              </w:rPr>
            </w:pPr>
            <w:r w:rsidRPr="00500414">
              <w:rPr>
                <w:rFonts w:eastAsia="Times New Roman" w:cs="Arial"/>
                <w:b/>
                <w:bCs/>
                <w:lang w:eastAsia="en-GB"/>
              </w:rPr>
              <w:t>£m</w:t>
            </w:r>
          </w:p>
        </w:tc>
        <w:tc>
          <w:tcPr>
            <w:tcW w:w="1140" w:type="dxa"/>
            <w:tcBorders>
              <w:top w:val="nil"/>
              <w:left w:val="nil"/>
              <w:bottom w:val="single" w:sz="8" w:space="0" w:color="auto"/>
              <w:right w:val="single" w:sz="8" w:space="0" w:color="auto"/>
            </w:tcBorders>
            <w:shd w:val="clear" w:color="000000" w:fill="BDD7EE"/>
            <w:vAlign w:val="center"/>
            <w:hideMark/>
          </w:tcPr>
          <w:p w:rsidR="0046463C" w:rsidRPr="00500414" w:rsidRDefault="00390D21" w:rsidP="0046463C">
            <w:pPr>
              <w:autoSpaceDE/>
              <w:autoSpaceDN/>
              <w:adjustRightInd/>
              <w:spacing w:after="0"/>
              <w:jc w:val="center"/>
              <w:rPr>
                <w:rFonts w:eastAsia="Times New Roman" w:cs="Arial"/>
                <w:b/>
                <w:bCs/>
                <w:lang w:eastAsia="en-GB"/>
              </w:rPr>
            </w:pPr>
            <w:r w:rsidRPr="00500414">
              <w:rPr>
                <w:rFonts w:eastAsia="Times New Roman" w:cs="Arial"/>
                <w:b/>
                <w:bCs/>
                <w:lang w:eastAsia="en-GB"/>
              </w:rPr>
              <w:t>£m</w:t>
            </w:r>
          </w:p>
        </w:tc>
        <w:tc>
          <w:tcPr>
            <w:tcW w:w="1140" w:type="dxa"/>
            <w:tcBorders>
              <w:top w:val="nil"/>
              <w:left w:val="nil"/>
              <w:bottom w:val="single" w:sz="8" w:space="0" w:color="auto"/>
              <w:right w:val="single" w:sz="12" w:space="0" w:color="auto"/>
            </w:tcBorders>
            <w:shd w:val="clear" w:color="000000" w:fill="BDD7EE"/>
            <w:vAlign w:val="center"/>
            <w:hideMark/>
          </w:tcPr>
          <w:p w:rsidR="0046463C" w:rsidRPr="00500414" w:rsidRDefault="00390D21" w:rsidP="0046463C">
            <w:pPr>
              <w:autoSpaceDE/>
              <w:autoSpaceDN/>
              <w:adjustRightInd/>
              <w:spacing w:after="0"/>
              <w:jc w:val="center"/>
              <w:rPr>
                <w:rFonts w:eastAsia="Times New Roman" w:cs="Arial"/>
                <w:b/>
                <w:bCs/>
                <w:lang w:eastAsia="en-GB"/>
              </w:rPr>
            </w:pPr>
            <w:r w:rsidRPr="00500414">
              <w:rPr>
                <w:rFonts w:eastAsia="Times New Roman" w:cs="Arial"/>
                <w:b/>
                <w:bCs/>
                <w:lang w:eastAsia="en-GB"/>
              </w:rPr>
              <w:t>£m</w:t>
            </w:r>
          </w:p>
        </w:tc>
      </w:tr>
      <w:tr w:rsidR="00C3717D" w:rsidTr="0046463C">
        <w:trPr>
          <w:trHeight w:val="315"/>
        </w:trPr>
        <w:tc>
          <w:tcPr>
            <w:tcW w:w="5230" w:type="dxa"/>
            <w:tcBorders>
              <w:top w:val="nil"/>
              <w:left w:val="single" w:sz="12" w:space="0" w:color="auto"/>
              <w:bottom w:val="single" w:sz="8" w:space="0" w:color="auto"/>
              <w:right w:val="single" w:sz="8" w:space="0" w:color="auto"/>
            </w:tcBorders>
            <w:shd w:val="clear" w:color="auto" w:fill="auto"/>
            <w:hideMark/>
          </w:tcPr>
          <w:p w:rsidR="0046463C" w:rsidRPr="00500414" w:rsidRDefault="00390D21" w:rsidP="0046463C">
            <w:pPr>
              <w:autoSpaceDE/>
              <w:autoSpaceDN/>
              <w:adjustRightInd/>
              <w:spacing w:after="0"/>
              <w:jc w:val="left"/>
              <w:rPr>
                <w:rFonts w:eastAsia="Times New Roman" w:cs="Arial"/>
                <w:lang w:eastAsia="en-GB"/>
              </w:rPr>
            </w:pPr>
            <w:r w:rsidRPr="00500414">
              <w:rPr>
                <w:rFonts w:eastAsia="Times New Roman" w:cs="Arial"/>
                <w:lang w:eastAsia="en-GB"/>
              </w:rPr>
              <w:t> </w:t>
            </w:r>
          </w:p>
        </w:tc>
        <w:tc>
          <w:tcPr>
            <w:tcW w:w="33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left"/>
              <w:rPr>
                <w:rFonts w:eastAsia="Times New Roman" w:cs="Arial"/>
                <w:lang w:eastAsia="en-GB"/>
              </w:rPr>
            </w:pPr>
            <w:r w:rsidRPr="00500414">
              <w:rPr>
                <w:rFonts w:eastAsia="Times New Roman" w:cs="Arial"/>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left"/>
              <w:rPr>
                <w:rFonts w:eastAsia="Times New Roman" w:cs="Arial"/>
                <w:lang w:eastAsia="en-GB"/>
              </w:rPr>
            </w:pPr>
            <w:r w:rsidRPr="00500414">
              <w:rPr>
                <w:rFonts w:eastAsia="Times New Roman" w:cs="Arial"/>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left"/>
              <w:rPr>
                <w:rFonts w:eastAsia="Times New Roman" w:cs="Arial"/>
                <w:lang w:eastAsia="en-GB"/>
              </w:rPr>
            </w:pPr>
            <w:r w:rsidRPr="00500414">
              <w:rPr>
                <w:rFonts w:eastAsia="Times New Roman" w:cs="Arial"/>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left"/>
              <w:rPr>
                <w:rFonts w:eastAsia="Times New Roman" w:cs="Arial"/>
                <w:lang w:eastAsia="en-GB"/>
              </w:rPr>
            </w:pPr>
            <w:r w:rsidRPr="00500414">
              <w:rPr>
                <w:rFonts w:eastAsia="Times New Roman" w:cs="Arial"/>
                <w:lang w:eastAsia="en-GB"/>
              </w:rPr>
              <w:t> </w:t>
            </w:r>
          </w:p>
        </w:tc>
        <w:tc>
          <w:tcPr>
            <w:tcW w:w="1140" w:type="dxa"/>
            <w:tcBorders>
              <w:top w:val="nil"/>
              <w:left w:val="nil"/>
              <w:bottom w:val="single" w:sz="8" w:space="0" w:color="auto"/>
              <w:right w:val="single" w:sz="12"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 </w:t>
            </w:r>
          </w:p>
        </w:tc>
      </w:tr>
      <w:tr w:rsidR="00C3717D" w:rsidTr="0046463C">
        <w:trPr>
          <w:trHeight w:val="315"/>
        </w:trPr>
        <w:tc>
          <w:tcPr>
            <w:tcW w:w="5230" w:type="dxa"/>
            <w:tcBorders>
              <w:top w:val="nil"/>
              <w:left w:val="single" w:sz="12" w:space="0" w:color="auto"/>
              <w:bottom w:val="single" w:sz="8" w:space="0" w:color="auto"/>
              <w:right w:val="single" w:sz="8" w:space="0" w:color="auto"/>
            </w:tcBorders>
            <w:shd w:val="clear" w:color="auto" w:fill="auto"/>
            <w:hideMark/>
          </w:tcPr>
          <w:p w:rsidR="0046463C" w:rsidRPr="00500414" w:rsidRDefault="00390D21" w:rsidP="0046463C">
            <w:pPr>
              <w:autoSpaceDE/>
              <w:autoSpaceDN/>
              <w:adjustRightInd/>
              <w:spacing w:after="0"/>
              <w:jc w:val="left"/>
              <w:rPr>
                <w:rFonts w:eastAsia="Times New Roman" w:cs="Arial"/>
                <w:lang w:eastAsia="en-GB"/>
              </w:rPr>
            </w:pPr>
            <w:r w:rsidRPr="00500414">
              <w:rPr>
                <w:rFonts w:eastAsia="Times New Roman" w:cs="Arial"/>
                <w:lang w:eastAsia="en-GB"/>
              </w:rPr>
              <w:t> </w:t>
            </w:r>
          </w:p>
        </w:tc>
        <w:tc>
          <w:tcPr>
            <w:tcW w:w="33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left"/>
              <w:rPr>
                <w:rFonts w:eastAsia="Times New Roman" w:cs="Arial"/>
                <w:lang w:eastAsia="en-GB"/>
              </w:rPr>
            </w:pPr>
            <w:r w:rsidRPr="00500414">
              <w:rPr>
                <w:rFonts w:eastAsia="Times New Roman" w:cs="Arial"/>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left"/>
              <w:rPr>
                <w:rFonts w:eastAsia="Times New Roman" w:cs="Arial"/>
                <w:lang w:eastAsia="en-GB"/>
              </w:rPr>
            </w:pPr>
            <w:r w:rsidRPr="00500414">
              <w:rPr>
                <w:rFonts w:eastAsia="Times New Roman" w:cs="Arial"/>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left"/>
              <w:rPr>
                <w:rFonts w:eastAsia="Times New Roman" w:cs="Arial"/>
                <w:lang w:eastAsia="en-GB"/>
              </w:rPr>
            </w:pPr>
            <w:r w:rsidRPr="00500414">
              <w:rPr>
                <w:rFonts w:eastAsia="Times New Roman" w:cs="Arial"/>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left"/>
              <w:rPr>
                <w:rFonts w:eastAsia="Times New Roman" w:cs="Arial"/>
                <w:lang w:eastAsia="en-GB"/>
              </w:rPr>
            </w:pPr>
            <w:r w:rsidRPr="00500414">
              <w:rPr>
                <w:rFonts w:eastAsia="Times New Roman" w:cs="Arial"/>
                <w:lang w:eastAsia="en-GB"/>
              </w:rPr>
              <w:t> </w:t>
            </w:r>
          </w:p>
        </w:tc>
        <w:tc>
          <w:tcPr>
            <w:tcW w:w="1140" w:type="dxa"/>
            <w:tcBorders>
              <w:top w:val="nil"/>
              <w:left w:val="nil"/>
              <w:bottom w:val="single" w:sz="8" w:space="0" w:color="auto"/>
              <w:right w:val="single" w:sz="12"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 </w:t>
            </w:r>
          </w:p>
        </w:tc>
      </w:tr>
      <w:tr w:rsidR="00C3717D" w:rsidTr="0046463C">
        <w:trPr>
          <w:trHeight w:val="615"/>
        </w:trPr>
        <w:tc>
          <w:tcPr>
            <w:tcW w:w="5230" w:type="dxa"/>
            <w:tcBorders>
              <w:top w:val="nil"/>
              <w:left w:val="single" w:sz="12" w:space="0" w:color="auto"/>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left"/>
              <w:rPr>
                <w:rFonts w:eastAsia="Times New Roman" w:cs="Arial"/>
                <w:b/>
                <w:bCs/>
                <w:lang w:eastAsia="en-GB"/>
              </w:rPr>
            </w:pPr>
            <w:r w:rsidRPr="00500414">
              <w:rPr>
                <w:rFonts w:eastAsia="Times New Roman" w:cs="Arial"/>
                <w:b/>
                <w:bCs/>
                <w:lang w:eastAsia="en-GB"/>
              </w:rPr>
              <w:t xml:space="preserve">Spending Gap as reported to </w:t>
            </w:r>
            <w:r w:rsidRPr="00500414">
              <w:rPr>
                <w:rFonts w:eastAsia="Times New Roman" w:cs="Arial"/>
                <w:b/>
                <w:bCs/>
                <w:lang w:eastAsia="en-GB"/>
              </w:rPr>
              <w:t>Cabinet quarter 2</w:t>
            </w:r>
          </w:p>
        </w:tc>
        <w:tc>
          <w:tcPr>
            <w:tcW w:w="33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50.368</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13.186</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15.237</w:t>
            </w:r>
          </w:p>
        </w:tc>
        <w:tc>
          <w:tcPr>
            <w:tcW w:w="1140" w:type="dxa"/>
            <w:tcBorders>
              <w:top w:val="nil"/>
              <w:left w:val="nil"/>
              <w:bottom w:val="single" w:sz="8" w:space="0" w:color="auto"/>
              <w:right w:val="single" w:sz="12"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78.791</w:t>
            </w:r>
          </w:p>
        </w:tc>
      </w:tr>
      <w:tr w:rsidR="00C3717D" w:rsidTr="0046463C">
        <w:trPr>
          <w:trHeight w:val="315"/>
        </w:trPr>
        <w:tc>
          <w:tcPr>
            <w:tcW w:w="5230" w:type="dxa"/>
            <w:tcBorders>
              <w:top w:val="nil"/>
              <w:left w:val="single" w:sz="12" w:space="0" w:color="auto"/>
              <w:bottom w:val="single" w:sz="8" w:space="0" w:color="auto"/>
              <w:right w:val="single" w:sz="8" w:space="0" w:color="auto"/>
            </w:tcBorders>
            <w:shd w:val="clear" w:color="000000" w:fill="BFBFBF"/>
            <w:vAlign w:val="center"/>
            <w:hideMark/>
          </w:tcPr>
          <w:p w:rsidR="0046463C" w:rsidRPr="00500414" w:rsidRDefault="00390D21" w:rsidP="0046463C">
            <w:pPr>
              <w:autoSpaceDE/>
              <w:autoSpaceDN/>
              <w:adjustRightInd/>
              <w:spacing w:after="0"/>
              <w:jc w:val="left"/>
              <w:rPr>
                <w:rFonts w:eastAsia="Times New Roman" w:cs="Arial"/>
                <w:lang w:eastAsia="en-GB"/>
              </w:rPr>
            </w:pPr>
            <w:r w:rsidRPr="00500414">
              <w:rPr>
                <w:rFonts w:eastAsia="Times New Roman" w:cs="Arial"/>
                <w:lang w:eastAsia="en-GB"/>
              </w:rPr>
              <w:t>Add change to forecast of spending:</w:t>
            </w:r>
          </w:p>
        </w:tc>
        <w:tc>
          <w:tcPr>
            <w:tcW w:w="330" w:type="dxa"/>
            <w:tcBorders>
              <w:top w:val="nil"/>
              <w:left w:val="nil"/>
              <w:bottom w:val="single" w:sz="8" w:space="0" w:color="auto"/>
              <w:right w:val="single" w:sz="8" w:space="0" w:color="auto"/>
            </w:tcBorders>
            <w:shd w:val="clear" w:color="000000" w:fill="BFBFBF"/>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 </w:t>
            </w:r>
          </w:p>
        </w:tc>
        <w:tc>
          <w:tcPr>
            <w:tcW w:w="1140" w:type="dxa"/>
            <w:tcBorders>
              <w:top w:val="nil"/>
              <w:left w:val="nil"/>
              <w:bottom w:val="single" w:sz="8" w:space="0" w:color="auto"/>
              <w:right w:val="single" w:sz="8" w:space="0" w:color="auto"/>
            </w:tcBorders>
            <w:shd w:val="clear" w:color="000000" w:fill="BFBFBF"/>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 </w:t>
            </w:r>
          </w:p>
        </w:tc>
        <w:tc>
          <w:tcPr>
            <w:tcW w:w="1140" w:type="dxa"/>
            <w:tcBorders>
              <w:top w:val="nil"/>
              <w:left w:val="nil"/>
              <w:bottom w:val="single" w:sz="8" w:space="0" w:color="auto"/>
              <w:right w:val="single" w:sz="8" w:space="0" w:color="auto"/>
            </w:tcBorders>
            <w:shd w:val="clear" w:color="000000" w:fill="BFBFBF"/>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 </w:t>
            </w:r>
          </w:p>
        </w:tc>
        <w:tc>
          <w:tcPr>
            <w:tcW w:w="1140" w:type="dxa"/>
            <w:tcBorders>
              <w:top w:val="nil"/>
              <w:left w:val="nil"/>
              <w:bottom w:val="single" w:sz="8" w:space="0" w:color="auto"/>
              <w:right w:val="single" w:sz="8" w:space="0" w:color="auto"/>
            </w:tcBorders>
            <w:shd w:val="clear" w:color="000000" w:fill="BFBFBF"/>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 </w:t>
            </w:r>
          </w:p>
        </w:tc>
        <w:tc>
          <w:tcPr>
            <w:tcW w:w="1140" w:type="dxa"/>
            <w:tcBorders>
              <w:top w:val="nil"/>
              <w:left w:val="nil"/>
              <w:bottom w:val="single" w:sz="8" w:space="0" w:color="auto"/>
              <w:right w:val="single" w:sz="12" w:space="0" w:color="auto"/>
            </w:tcBorders>
            <w:shd w:val="clear" w:color="000000" w:fill="BFBFBF"/>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 </w:t>
            </w:r>
          </w:p>
        </w:tc>
      </w:tr>
      <w:tr w:rsidR="00C3717D" w:rsidTr="0046463C">
        <w:trPr>
          <w:trHeight w:val="315"/>
        </w:trPr>
        <w:tc>
          <w:tcPr>
            <w:tcW w:w="5230" w:type="dxa"/>
            <w:tcBorders>
              <w:top w:val="nil"/>
              <w:left w:val="single" w:sz="12" w:space="0" w:color="auto"/>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left"/>
              <w:rPr>
                <w:rFonts w:eastAsia="Times New Roman" w:cs="Arial"/>
                <w:lang w:eastAsia="en-GB"/>
              </w:rPr>
            </w:pPr>
            <w:r w:rsidRPr="00500414">
              <w:rPr>
                <w:rFonts w:eastAsia="Times New Roman" w:cs="Arial"/>
                <w:lang w:eastAsia="en-GB"/>
              </w:rPr>
              <w:t>Pay &amp; Pensions</w:t>
            </w:r>
          </w:p>
        </w:tc>
        <w:tc>
          <w:tcPr>
            <w:tcW w:w="33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2.058</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-0.854</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-0.982</w:t>
            </w:r>
          </w:p>
        </w:tc>
        <w:tc>
          <w:tcPr>
            <w:tcW w:w="1140" w:type="dxa"/>
            <w:tcBorders>
              <w:top w:val="nil"/>
              <w:left w:val="nil"/>
              <w:bottom w:val="single" w:sz="8" w:space="0" w:color="auto"/>
              <w:right w:val="single" w:sz="12"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0.222</w:t>
            </w:r>
          </w:p>
        </w:tc>
      </w:tr>
      <w:tr w:rsidR="00C3717D" w:rsidTr="0046463C">
        <w:trPr>
          <w:trHeight w:val="405"/>
        </w:trPr>
        <w:tc>
          <w:tcPr>
            <w:tcW w:w="5230" w:type="dxa"/>
            <w:tcBorders>
              <w:top w:val="nil"/>
              <w:left w:val="single" w:sz="12" w:space="0" w:color="auto"/>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left"/>
              <w:rPr>
                <w:rFonts w:eastAsia="Times New Roman" w:cs="Arial"/>
                <w:lang w:eastAsia="en-GB"/>
              </w:rPr>
            </w:pPr>
            <w:r w:rsidRPr="00500414">
              <w:rPr>
                <w:rFonts w:eastAsia="Times New Roman" w:cs="Arial"/>
                <w:lang w:eastAsia="en-GB"/>
              </w:rPr>
              <w:t>Inflation and Cost Changes</w:t>
            </w:r>
          </w:p>
        </w:tc>
        <w:tc>
          <w:tcPr>
            <w:tcW w:w="33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-2.538</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0.141</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-0.739</w:t>
            </w:r>
          </w:p>
        </w:tc>
        <w:tc>
          <w:tcPr>
            <w:tcW w:w="1140" w:type="dxa"/>
            <w:tcBorders>
              <w:top w:val="nil"/>
              <w:left w:val="nil"/>
              <w:bottom w:val="single" w:sz="8" w:space="0" w:color="auto"/>
              <w:right w:val="single" w:sz="12"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-3.136</w:t>
            </w:r>
          </w:p>
        </w:tc>
      </w:tr>
      <w:tr w:rsidR="00C3717D" w:rsidTr="0046463C">
        <w:trPr>
          <w:trHeight w:val="315"/>
        </w:trPr>
        <w:tc>
          <w:tcPr>
            <w:tcW w:w="5230" w:type="dxa"/>
            <w:tcBorders>
              <w:top w:val="nil"/>
              <w:left w:val="single" w:sz="12" w:space="0" w:color="auto"/>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left"/>
              <w:rPr>
                <w:rFonts w:eastAsia="Times New Roman" w:cs="Arial"/>
                <w:lang w:eastAsia="en-GB"/>
              </w:rPr>
            </w:pPr>
            <w:r w:rsidRPr="00500414">
              <w:rPr>
                <w:rFonts w:eastAsia="Times New Roman" w:cs="Arial"/>
                <w:lang w:eastAsia="en-GB"/>
              </w:rPr>
              <w:t>Service Demand and Volume Pressures</w:t>
            </w:r>
          </w:p>
        </w:tc>
        <w:tc>
          <w:tcPr>
            <w:tcW w:w="33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3.521</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-1.313</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-0.851</w:t>
            </w:r>
          </w:p>
        </w:tc>
        <w:tc>
          <w:tcPr>
            <w:tcW w:w="1140" w:type="dxa"/>
            <w:tcBorders>
              <w:top w:val="nil"/>
              <w:left w:val="nil"/>
              <w:bottom w:val="single" w:sz="8" w:space="0" w:color="auto"/>
              <w:right w:val="single" w:sz="12"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1.357</w:t>
            </w:r>
          </w:p>
        </w:tc>
      </w:tr>
      <w:tr w:rsidR="00C3717D" w:rsidTr="0046463C">
        <w:trPr>
          <w:trHeight w:val="360"/>
        </w:trPr>
        <w:tc>
          <w:tcPr>
            <w:tcW w:w="5230" w:type="dxa"/>
            <w:tcBorders>
              <w:top w:val="nil"/>
              <w:left w:val="single" w:sz="12" w:space="0" w:color="auto"/>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left"/>
              <w:rPr>
                <w:rFonts w:eastAsia="Times New Roman" w:cs="Arial"/>
                <w:lang w:eastAsia="en-GB"/>
              </w:rPr>
            </w:pPr>
            <w:r w:rsidRPr="00500414">
              <w:rPr>
                <w:rFonts w:eastAsia="Times New Roman" w:cs="Arial"/>
                <w:lang w:eastAsia="en-GB"/>
              </w:rPr>
              <w:t>Other</w:t>
            </w:r>
          </w:p>
        </w:tc>
        <w:tc>
          <w:tcPr>
            <w:tcW w:w="33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22.252</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-18.690</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0.000</w:t>
            </w:r>
          </w:p>
        </w:tc>
        <w:tc>
          <w:tcPr>
            <w:tcW w:w="1140" w:type="dxa"/>
            <w:tcBorders>
              <w:top w:val="nil"/>
              <w:left w:val="nil"/>
              <w:bottom w:val="single" w:sz="8" w:space="0" w:color="auto"/>
              <w:right w:val="single" w:sz="12"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3.562</w:t>
            </w:r>
          </w:p>
        </w:tc>
      </w:tr>
      <w:tr w:rsidR="00C3717D" w:rsidTr="0046463C">
        <w:trPr>
          <w:trHeight w:val="315"/>
        </w:trPr>
        <w:tc>
          <w:tcPr>
            <w:tcW w:w="5230" w:type="dxa"/>
            <w:tcBorders>
              <w:top w:val="nil"/>
              <w:left w:val="single" w:sz="12" w:space="0" w:color="auto"/>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left"/>
              <w:rPr>
                <w:rFonts w:eastAsia="Times New Roman" w:cs="Arial"/>
                <w:lang w:eastAsia="en-GB"/>
              </w:rPr>
            </w:pPr>
            <w:r w:rsidRPr="00500414">
              <w:rPr>
                <w:rFonts w:eastAsia="Times New Roman" w:cs="Arial"/>
                <w:lang w:eastAsia="en-GB"/>
              </w:rPr>
              <w:t>Additional Grant</w:t>
            </w:r>
          </w:p>
        </w:tc>
        <w:tc>
          <w:tcPr>
            <w:tcW w:w="33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-28.694</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28.621</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0.000</w:t>
            </w:r>
          </w:p>
        </w:tc>
        <w:tc>
          <w:tcPr>
            <w:tcW w:w="1140" w:type="dxa"/>
            <w:tcBorders>
              <w:top w:val="nil"/>
              <w:left w:val="nil"/>
              <w:bottom w:val="single" w:sz="8" w:space="0" w:color="auto"/>
              <w:right w:val="single" w:sz="12"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-0.073</w:t>
            </w:r>
          </w:p>
        </w:tc>
      </w:tr>
      <w:tr w:rsidR="00C3717D" w:rsidTr="0046463C">
        <w:trPr>
          <w:trHeight w:val="315"/>
        </w:trPr>
        <w:tc>
          <w:tcPr>
            <w:tcW w:w="5230" w:type="dxa"/>
            <w:tcBorders>
              <w:top w:val="nil"/>
              <w:left w:val="single" w:sz="12" w:space="0" w:color="auto"/>
              <w:bottom w:val="single" w:sz="8" w:space="0" w:color="auto"/>
              <w:right w:val="single" w:sz="8" w:space="0" w:color="auto"/>
            </w:tcBorders>
            <w:shd w:val="clear" w:color="auto" w:fill="auto"/>
            <w:noWrap/>
            <w:vAlign w:val="bottom"/>
            <w:hideMark/>
          </w:tcPr>
          <w:p w:rsidR="0046463C" w:rsidRPr="00500414" w:rsidRDefault="00390D21" w:rsidP="0046463C">
            <w:pPr>
              <w:autoSpaceDE/>
              <w:autoSpaceDN/>
              <w:adjustRightInd/>
              <w:spacing w:after="0"/>
              <w:jc w:val="left"/>
              <w:rPr>
                <w:rFonts w:eastAsia="Times New Roman" w:cs="Arial"/>
                <w:color w:val="auto"/>
                <w:lang w:eastAsia="en-GB"/>
              </w:rPr>
            </w:pPr>
            <w:r w:rsidRPr="00500414">
              <w:rPr>
                <w:rFonts w:eastAsia="Times New Roman" w:cs="Arial"/>
                <w:color w:val="auto"/>
                <w:lang w:eastAsia="en-GB"/>
              </w:rPr>
              <w:t>Undeliverable Savings</w:t>
            </w:r>
          </w:p>
        </w:tc>
        <w:tc>
          <w:tcPr>
            <w:tcW w:w="33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0.370</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0.000</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0.000</w:t>
            </w:r>
          </w:p>
        </w:tc>
        <w:tc>
          <w:tcPr>
            <w:tcW w:w="1140" w:type="dxa"/>
            <w:tcBorders>
              <w:top w:val="nil"/>
              <w:left w:val="nil"/>
              <w:bottom w:val="single" w:sz="8" w:space="0" w:color="auto"/>
              <w:right w:val="single" w:sz="12"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0.370</w:t>
            </w:r>
          </w:p>
        </w:tc>
      </w:tr>
      <w:tr w:rsidR="00C3717D" w:rsidTr="0046463C">
        <w:trPr>
          <w:trHeight w:val="345"/>
        </w:trPr>
        <w:tc>
          <w:tcPr>
            <w:tcW w:w="5230" w:type="dxa"/>
            <w:tcBorders>
              <w:top w:val="nil"/>
              <w:left w:val="single" w:sz="12" w:space="0" w:color="auto"/>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left"/>
              <w:rPr>
                <w:rFonts w:eastAsia="Times New Roman" w:cs="Arial"/>
                <w:color w:val="auto"/>
                <w:lang w:eastAsia="en-GB"/>
              </w:rPr>
            </w:pPr>
            <w:r w:rsidRPr="00500414">
              <w:rPr>
                <w:rFonts w:eastAsia="Times New Roman" w:cs="Arial"/>
                <w:color w:val="auto"/>
                <w:lang w:eastAsia="en-GB"/>
              </w:rPr>
              <w:t>Additional Savings</w:t>
            </w:r>
          </w:p>
        </w:tc>
        <w:tc>
          <w:tcPr>
            <w:tcW w:w="33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-6.065</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-0.288</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0.000</w:t>
            </w:r>
          </w:p>
        </w:tc>
        <w:tc>
          <w:tcPr>
            <w:tcW w:w="1140" w:type="dxa"/>
            <w:tcBorders>
              <w:top w:val="nil"/>
              <w:left w:val="nil"/>
              <w:bottom w:val="single" w:sz="8" w:space="0" w:color="auto"/>
              <w:right w:val="single" w:sz="12"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-6.353</w:t>
            </w:r>
          </w:p>
        </w:tc>
      </w:tr>
      <w:tr w:rsidR="00C3717D" w:rsidTr="0046463C">
        <w:trPr>
          <w:trHeight w:val="630"/>
        </w:trPr>
        <w:tc>
          <w:tcPr>
            <w:tcW w:w="5230" w:type="dxa"/>
            <w:tcBorders>
              <w:top w:val="nil"/>
              <w:left w:val="single" w:sz="12" w:space="0" w:color="auto"/>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left"/>
              <w:rPr>
                <w:rFonts w:eastAsia="Times New Roman" w:cs="Arial"/>
                <w:color w:val="auto"/>
                <w:lang w:eastAsia="en-GB"/>
              </w:rPr>
            </w:pPr>
            <w:r w:rsidRPr="00500414">
              <w:rPr>
                <w:rFonts w:eastAsia="Times New Roman" w:cs="Arial"/>
                <w:color w:val="auto"/>
                <w:lang w:eastAsia="en-GB"/>
              </w:rPr>
              <w:t>Reprofiled Savings</w:t>
            </w:r>
          </w:p>
        </w:tc>
        <w:tc>
          <w:tcPr>
            <w:tcW w:w="33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0.247</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-0.507</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-0.299</w:t>
            </w:r>
          </w:p>
        </w:tc>
        <w:tc>
          <w:tcPr>
            <w:tcW w:w="1140" w:type="dxa"/>
            <w:tcBorders>
              <w:top w:val="nil"/>
              <w:left w:val="nil"/>
              <w:bottom w:val="single" w:sz="8" w:space="0" w:color="auto"/>
              <w:right w:val="single" w:sz="12"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-0.559</w:t>
            </w:r>
          </w:p>
        </w:tc>
      </w:tr>
      <w:tr w:rsidR="00C3717D" w:rsidTr="0046463C">
        <w:trPr>
          <w:trHeight w:val="385"/>
        </w:trPr>
        <w:tc>
          <w:tcPr>
            <w:tcW w:w="5230" w:type="dxa"/>
            <w:tcBorders>
              <w:top w:val="nil"/>
              <w:left w:val="single" w:sz="12" w:space="0" w:color="auto"/>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left"/>
              <w:rPr>
                <w:rFonts w:eastAsia="Times New Roman" w:cs="Arial"/>
                <w:color w:val="auto"/>
                <w:lang w:eastAsia="en-GB"/>
              </w:rPr>
            </w:pPr>
            <w:r w:rsidRPr="00500414">
              <w:rPr>
                <w:rFonts w:eastAsia="Times New Roman" w:cs="Arial"/>
                <w:color w:val="auto"/>
                <w:lang w:eastAsia="en-GB"/>
              </w:rPr>
              <w:t xml:space="preserve">Covid </w:t>
            </w:r>
            <w:r w:rsidRPr="00500414">
              <w:rPr>
                <w:rFonts w:eastAsia="Times New Roman" w:cs="Arial"/>
                <w:color w:val="auto"/>
                <w:lang w:eastAsia="en-GB"/>
              </w:rPr>
              <w:t>Impact/Pressures</w:t>
            </w:r>
          </w:p>
        </w:tc>
        <w:tc>
          <w:tcPr>
            <w:tcW w:w="33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-1.343</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0.388</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0.624</w:t>
            </w:r>
          </w:p>
        </w:tc>
        <w:tc>
          <w:tcPr>
            <w:tcW w:w="1140" w:type="dxa"/>
            <w:tcBorders>
              <w:top w:val="nil"/>
              <w:left w:val="nil"/>
              <w:bottom w:val="single" w:sz="8" w:space="0" w:color="auto"/>
              <w:right w:val="single" w:sz="12"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-0.331</w:t>
            </w:r>
          </w:p>
        </w:tc>
      </w:tr>
      <w:tr w:rsidR="00C3717D" w:rsidTr="0046463C">
        <w:trPr>
          <w:trHeight w:val="585"/>
        </w:trPr>
        <w:tc>
          <w:tcPr>
            <w:tcW w:w="5230" w:type="dxa"/>
            <w:tcBorders>
              <w:top w:val="nil"/>
              <w:left w:val="single" w:sz="12" w:space="0" w:color="auto"/>
              <w:bottom w:val="single" w:sz="8" w:space="0" w:color="auto"/>
              <w:right w:val="single" w:sz="8" w:space="0" w:color="auto"/>
            </w:tcBorders>
            <w:shd w:val="clear" w:color="000000" w:fill="D9D9D9"/>
            <w:vAlign w:val="center"/>
            <w:hideMark/>
          </w:tcPr>
          <w:p w:rsidR="0046463C" w:rsidRPr="00500414" w:rsidRDefault="00390D21" w:rsidP="0046463C">
            <w:pPr>
              <w:autoSpaceDE/>
              <w:autoSpaceDN/>
              <w:adjustRightInd/>
              <w:spacing w:after="0"/>
              <w:jc w:val="left"/>
              <w:rPr>
                <w:rFonts w:eastAsia="Times New Roman" w:cs="Arial"/>
                <w:b/>
                <w:bCs/>
                <w:lang w:eastAsia="en-GB"/>
              </w:rPr>
            </w:pPr>
            <w:r w:rsidRPr="00500414">
              <w:rPr>
                <w:rFonts w:eastAsia="Times New Roman" w:cs="Arial"/>
                <w:b/>
                <w:bCs/>
                <w:lang w:eastAsia="en-GB"/>
              </w:rPr>
              <w:t>Total Change to Forecast of Spending</w:t>
            </w:r>
          </w:p>
        </w:tc>
        <w:tc>
          <w:tcPr>
            <w:tcW w:w="330" w:type="dxa"/>
            <w:tcBorders>
              <w:top w:val="nil"/>
              <w:left w:val="nil"/>
              <w:bottom w:val="single" w:sz="8" w:space="0" w:color="auto"/>
              <w:right w:val="single" w:sz="8" w:space="0" w:color="auto"/>
            </w:tcBorders>
            <w:shd w:val="clear" w:color="000000" w:fill="D9D9D9"/>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 </w:t>
            </w:r>
          </w:p>
        </w:tc>
        <w:tc>
          <w:tcPr>
            <w:tcW w:w="1140" w:type="dxa"/>
            <w:tcBorders>
              <w:top w:val="nil"/>
              <w:left w:val="nil"/>
              <w:bottom w:val="single" w:sz="8" w:space="0" w:color="auto"/>
              <w:right w:val="single" w:sz="8" w:space="0" w:color="auto"/>
            </w:tcBorders>
            <w:shd w:val="clear" w:color="000000" w:fill="D9D9D9"/>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-10.192</w:t>
            </w:r>
          </w:p>
        </w:tc>
        <w:tc>
          <w:tcPr>
            <w:tcW w:w="1140" w:type="dxa"/>
            <w:tcBorders>
              <w:top w:val="nil"/>
              <w:left w:val="nil"/>
              <w:bottom w:val="single" w:sz="8" w:space="0" w:color="auto"/>
              <w:right w:val="single" w:sz="8" w:space="0" w:color="auto"/>
            </w:tcBorders>
            <w:shd w:val="clear" w:color="000000" w:fill="D9D9D9"/>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7.498</w:t>
            </w:r>
          </w:p>
        </w:tc>
        <w:tc>
          <w:tcPr>
            <w:tcW w:w="1140" w:type="dxa"/>
            <w:tcBorders>
              <w:top w:val="nil"/>
              <w:left w:val="nil"/>
              <w:bottom w:val="single" w:sz="8" w:space="0" w:color="auto"/>
              <w:right w:val="single" w:sz="8" w:space="0" w:color="auto"/>
            </w:tcBorders>
            <w:shd w:val="clear" w:color="000000" w:fill="D9D9D9"/>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-2.247</w:t>
            </w:r>
          </w:p>
        </w:tc>
        <w:tc>
          <w:tcPr>
            <w:tcW w:w="1140" w:type="dxa"/>
            <w:tcBorders>
              <w:top w:val="nil"/>
              <w:left w:val="nil"/>
              <w:bottom w:val="single" w:sz="8" w:space="0" w:color="auto"/>
              <w:right w:val="single" w:sz="12" w:space="0" w:color="auto"/>
            </w:tcBorders>
            <w:shd w:val="clear" w:color="000000" w:fill="D9D9D9"/>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-4.941</w:t>
            </w:r>
          </w:p>
        </w:tc>
      </w:tr>
      <w:tr w:rsidR="00C3717D" w:rsidTr="0046463C">
        <w:trPr>
          <w:trHeight w:val="180"/>
        </w:trPr>
        <w:tc>
          <w:tcPr>
            <w:tcW w:w="5230" w:type="dxa"/>
            <w:tcBorders>
              <w:top w:val="nil"/>
              <w:left w:val="single" w:sz="12" w:space="0" w:color="auto"/>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left"/>
              <w:rPr>
                <w:rFonts w:eastAsia="Times New Roman" w:cs="Arial"/>
                <w:b/>
                <w:bCs/>
                <w:lang w:eastAsia="en-GB"/>
              </w:rPr>
            </w:pPr>
            <w:r w:rsidRPr="00500414">
              <w:rPr>
                <w:rFonts w:eastAsia="Times New Roman" w:cs="Arial"/>
                <w:b/>
                <w:bCs/>
                <w:lang w:eastAsia="en-GB"/>
              </w:rPr>
              <w:t> </w:t>
            </w:r>
          </w:p>
        </w:tc>
        <w:tc>
          <w:tcPr>
            <w:tcW w:w="33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 </w:t>
            </w:r>
          </w:p>
        </w:tc>
        <w:tc>
          <w:tcPr>
            <w:tcW w:w="1140" w:type="dxa"/>
            <w:tcBorders>
              <w:top w:val="nil"/>
              <w:left w:val="nil"/>
              <w:bottom w:val="single" w:sz="8" w:space="0" w:color="auto"/>
              <w:right w:val="single" w:sz="12"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 </w:t>
            </w:r>
          </w:p>
        </w:tc>
      </w:tr>
      <w:tr w:rsidR="00C3717D" w:rsidTr="0046463C">
        <w:trPr>
          <w:trHeight w:val="345"/>
        </w:trPr>
        <w:tc>
          <w:tcPr>
            <w:tcW w:w="5230" w:type="dxa"/>
            <w:tcBorders>
              <w:top w:val="nil"/>
              <w:left w:val="single" w:sz="12" w:space="0" w:color="auto"/>
              <w:bottom w:val="single" w:sz="8" w:space="0" w:color="auto"/>
              <w:right w:val="single" w:sz="8" w:space="0" w:color="auto"/>
            </w:tcBorders>
            <w:shd w:val="clear" w:color="000000" w:fill="BFBFBF"/>
            <w:vAlign w:val="center"/>
            <w:hideMark/>
          </w:tcPr>
          <w:p w:rsidR="0046463C" w:rsidRPr="00500414" w:rsidRDefault="00390D21" w:rsidP="0046463C">
            <w:pPr>
              <w:autoSpaceDE/>
              <w:autoSpaceDN/>
              <w:adjustRightInd/>
              <w:spacing w:after="0"/>
              <w:jc w:val="left"/>
              <w:rPr>
                <w:rFonts w:eastAsia="Times New Roman" w:cs="Arial"/>
                <w:lang w:eastAsia="en-GB"/>
              </w:rPr>
            </w:pPr>
            <w:r w:rsidRPr="00500414">
              <w:rPr>
                <w:rFonts w:eastAsia="Times New Roman" w:cs="Arial"/>
                <w:lang w:eastAsia="en-GB"/>
              </w:rPr>
              <w:t>Change to forecast of resources:</w:t>
            </w:r>
          </w:p>
        </w:tc>
        <w:tc>
          <w:tcPr>
            <w:tcW w:w="330" w:type="dxa"/>
            <w:tcBorders>
              <w:top w:val="nil"/>
              <w:left w:val="nil"/>
              <w:bottom w:val="single" w:sz="8" w:space="0" w:color="auto"/>
              <w:right w:val="single" w:sz="8" w:space="0" w:color="auto"/>
            </w:tcBorders>
            <w:shd w:val="clear" w:color="000000" w:fill="BFBFBF"/>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 </w:t>
            </w:r>
          </w:p>
        </w:tc>
        <w:tc>
          <w:tcPr>
            <w:tcW w:w="1140" w:type="dxa"/>
            <w:tcBorders>
              <w:top w:val="nil"/>
              <w:left w:val="nil"/>
              <w:bottom w:val="single" w:sz="8" w:space="0" w:color="auto"/>
              <w:right w:val="single" w:sz="8" w:space="0" w:color="auto"/>
            </w:tcBorders>
            <w:shd w:val="clear" w:color="000000" w:fill="BFBFBF"/>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 </w:t>
            </w:r>
          </w:p>
        </w:tc>
        <w:tc>
          <w:tcPr>
            <w:tcW w:w="1140" w:type="dxa"/>
            <w:tcBorders>
              <w:top w:val="nil"/>
              <w:left w:val="nil"/>
              <w:bottom w:val="single" w:sz="8" w:space="0" w:color="auto"/>
              <w:right w:val="single" w:sz="8" w:space="0" w:color="auto"/>
            </w:tcBorders>
            <w:shd w:val="clear" w:color="000000" w:fill="BFBFBF"/>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 </w:t>
            </w:r>
          </w:p>
        </w:tc>
        <w:tc>
          <w:tcPr>
            <w:tcW w:w="1140" w:type="dxa"/>
            <w:tcBorders>
              <w:top w:val="nil"/>
              <w:left w:val="nil"/>
              <w:bottom w:val="single" w:sz="8" w:space="0" w:color="auto"/>
              <w:right w:val="single" w:sz="8" w:space="0" w:color="auto"/>
            </w:tcBorders>
            <w:shd w:val="clear" w:color="000000" w:fill="BFBFBF"/>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 </w:t>
            </w:r>
          </w:p>
        </w:tc>
        <w:tc>
          <w:tcPr>
            <w:tcW w:w="1140" w:type="dxa"/>
            <w:tcBorders>
              <w:top w:val="nil"/>
              <w:left w:val="nil"/>
              <w:bottom w:val="single" w:sz="8" w:space="0" w:color="auto"/>
              <w:right w:val="single" w:sz="12" w:space="0" w:color="auto"/>
            </w:tcBorders>
            <w:shd w:val="clear" w:color="000000" w:fill="BFBFBF"/>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 </w:t>
            </w:r>
          </w:p>
        </w:tc>
      </w:tr>
      <w:tr w:rsidR="00C3717D" w:rsidTr="0046463C">
        <w:trPr>
          <w:trHeight w:val="345"/>
        </w:trPr>
        <w:tc>
          <w:tcPr>
            <w:tcW w:w="5230" w:type="dxa"/>
            <w:tcBorders>
              <w:top w:val="nil"/>
              <w:left w:val="single" w:sz="12" w:space="0" w:color="auto"/>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left"/>
              <w:rPr>
                <w:rFonts w:eastAsia="Times New Roman" w:cs="Arial"/>
                <w:lang w:eastAsia="en-GB"/>
              </w:rPr>
            </w:pPr>
            <w:r w:rsidRPr="00500414">
              <w:rPr>
                <w:rFonts w:eastAsia="Times New Roman" w:cs="Arial"/>
                <w:lang w:eastAsia="en-GB"/>
              </w:rPr>
              <w:t>Funding</w:t>
            </w:r>
          </w:p>
        </w:tc>
        <w:tc>
          <w:tcPr>
            <w:tcW w:w="33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-37.857</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18.195</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-0.232</w:t>
            </w:r>
          </w:p>
        </w:tc>
        <w:tc>
          <w:tcPr>
            <w:tcW w:w="1140" w:type="dxa"/>
            <w:tcBorders>
              <w:top w:val="nil"/>
              <w:left w:val="nil"/>
              <w:bottom w:val="single" w:sz="8" w:space="0" w:color="auto"/>
              <w:right w:val="single" w:sz="12"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-19.894</w:t>
            </w:r>
          </w:p>
        </w:tc>
      </w:tr>
      <w:tr w:rsidR="00C3717D" w:rsidTr="0046463C">
        <w:trPr>
          <w:trHeight w:val="585"/>
        </w:trPr>
        <w:tc>
          <w:tcPr>
            <w:tcW w:w="5230" w:type="dxa"/>
            <w:tcBorders>
              <w:top w:val="nil"/>
              <w:left w:val="single" w:sz="12" w:space="0" w:color="auto"/>
              <w:bottom w:val="single" w:sz="8" w:space="0" w:color="auto"/>
              <w:right w:val="single" w:sz="8" w:space="0" w:color="auto"/>
            </w:tcBorders>
            <w:shd w:val="clear" w:color="000000" w:fill="D9D9D9"/>
            <w:vAlign w:val="center"/>
            <w:hideMark/>
          </w:tcPr>
          <w:p w:rsidR="0046463C" w:rsidRPr="00500414" w:rsidRDefault="00390D21" w:rsidP="0046463C">
            <w:pPr>
              <w:autoSpaceDE/>
              <w:autoSpaceDN/>
              <w:adjustRightInd/>
              <w:spacing w:after="0"/>
              <w:jc w:val="left"/>
              <w:rPr>
                <w:rFonts w:eastAsia="Times New Roman" w:cs="Arial"/>
                <w:b/>
                <w:bCs/>
                <w:lang w:eastAsia="en-GB"/>
              </w:rPr>
            </w:pPr>
            <w:r w:rsidRPr="00500414">
              <w:rPr>
                <w:rFonts w:eastAsia="Times New Roman" w:cs="Arial"/>
                <w:b/>
                <w:bCs/>
                <w:lang w:eastAsia="en-GB"/>
              </w:rPr>
              <w:t>Total Change to Forecast of Resources</w:t>
            </w:r>
          </w:p>
        </w:tc>
        <w:tc>
          <w:tcPr>
            <w:tcW w:w="330" w:type="dxa"/>
            <w:tcBorders>
              <w:top w:val="single" w:sz="8" w:space="0" w:color="auto"/>
              <w:left w:val="nil"/>
              <w:bottom w:val="single" w:sz="8" w:space="0" w:color="auto"/>
              <w:right w:val="single" w:sz="8" w:space="0" w:color="auto"/>
            </w:tcBorders>
            <w:shd w:val="clear" w:color="000000" w:fill="D9D9D9"/>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 </w:t>
            </w:r>
          </w:p>
        </w:tc>
        <w:tc>
          <w:tcPr>
            <w:tcW w:w="1140" w:type="dxa"/>
            <w:tcBorders>
              <w:top w:val="single" w:sz="8" w:space="0" w:color="auto"/>
              <w:left w:val="nil"/>
              <w:bottom w:val="single" w:sz="8" w:space="0" w:color="auto"/>
              <w:right w:val="single" w:sz="8" w:space="0" w:color="auto"/>
            </w:tcBorders>
            <w:shd w:val="clear" w:color="000000" w:fill="D9D9D9"/>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-37.857</w:t>
            </w:r>
          </w:p>
        </w:tc>
        <w:tc>
          <w:tcPr>
            <w:tcW w:w="1140" w:type="dxa"/>
            <w:tcBorders>
              <w:top w:val="single" w:sz="8" w:space="0" w:color="auto"/>
              <w:left w:val="nil"/>
              <w:bottom w:val="single" w:sz="8" w:space="0" w:color="auto"/>
              <w:right w:val="single" w:sz="8" w:space="0" w:color="auto"/>
            </w:tcBorders>
            <w:shd w:val="clear" w:color="000000" w:fill="D9D9D9"/>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18.195</w:t>
            </w:r>
          </w:p>
        </w:tc>
        <w:tc>
          <w:tcPr>
            <w:tcW w:w="1140" w:type="dxa"/>
            <w:tcBorders>
              <w:top w:val="single" w:sz="8" w:space="0" w:color="auto"/>
              <w:left w:val="nil"/>
              <w:bottom w:val="single" w:sz="8" w:space="0" w:color="auto"/>
              <w:right w:val="single" w:sz="8" w:space="0" w:color="auto"/>
            </w:tcBorders>
            <w:shd w:val="clear" w:color="000000" w:fill="D9D9D9"/>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-0.232</w:t>
            </w:r>
          </w:p>
        </w:tc>
        <w:tc>
          <w:tcPr>
            <w:tcW w:w="1140" w:type="dxa"/>
            <w:tcBorders>
              <w:top w:val="nil"/>
              <w:left w:val="nil"/>
              <w:bottom w:val="single" w:sz="8" w:space="0" w:color="auto"/>
              <w:right w:val="single" w:sz="12" w:space="0" w:color="auto"/>
            </w:tcBorders>
            <w:shd w:val="clear" w:color="000000" w:fill="D9D9D9"/>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-19.894</w:t>
            </w:r>
          </w:p>
        </w:tc>
      </w:tr>
      <w:tr w:rsidR="00C3717D" w:rsidTr="0046463C">
        <w:trPr>
          <w:trHeight w:val="375"/>
        </w:trPr>
        <w:tc>
          <w:tcPr>
            <w:tcW w:w="5230" w:type="dxa"/>
            <w:tcBorders>
              <w:top w:val="nil"/>
              <w:left w:val="single" w:sz="12" w:space="0" w:color="auto"/>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left"/>
              <w:rPr>
                <w:rFonts w:eastAsia="Times New Roman" w:cs="Arial"/>
                <w:lang w:eastAsia="en-GB"/>
              </w:rPr>
            </w:pPr>
            <w:r w:rsidRPr="00500414">
              <w:rPr>
                <w:rFonts w:eastAsia="Times New Roman" w:cs="Arial"/>
                <w:lang w:eastAsia="en-GB"/>
              </w:rPr>
              <w:t> </w:t>
            </w:r>
          </w:p>
        </w:tc>
        <w:tc>
          <w:tcPr>
            <w:tcW w:w="33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 </w:t>
            </w:r>
          </w:p>
        </w:tc>
        <w:tc>
          <w:tcPr>
            <w:tcW w:w="1140"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 </w:t>
            </w:r>
          </w:p>
        </w:tc>
        <w:tc>
          <w:tcPr>
            <w:tcW w:w="1140" w:type="dxa"/>
            <w:tcBorders>
              <w:top w:val="nil"/>
              <w:left w:val="nil"/>
              <w:bottom w:val="single" w:sz="8" w:space="0" w:color="auto"/>
              <w:right w:val="single" w:sz="12"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 </w:t>
            </w:r>
          </w:p>
        </w:tc>
      </w:tr>
      <w:tr w:rsidR="00C3717D" w:rsidTr="0046463C">
        <w:trPr>
          <w:trHeight w:val="330"/>
        </w:trPr>
        <w:tc>
          <w:tcPr>
            <w:tcW w:w="5230" w:type="dxa"/>
            <w:tcBorders>
              <w:top w:val="nil"/>
              <w:left w:val="single" w:sz="12" w:space="0" w:color="auto"/>
              <w:bottom w:val="single" w:sz="12" w:space="0" w:color="auto"/>
              <w:right w:val="single" w:sz="8" w:space="0" w:color="auto"/>
            </w:tcBorders>
            <w:shd w:val="clear" w:color="000000" w:fill="BFBFBF"/>
            <w:vAlign w:val="center"/>
            <w:hideMark/>
          </w:tcPr>
          <w:p w:rsidR="0046463C" w:rsidRPr="00500414" w:rsidRDefault="00390D21" w:rsidP="0046463C">
            <w:pPr>
              <w:autoSpaceDE/>
              <w:autoSpaceDN/>
              <w:adjustRightInd/>
              <w:spacing w:after="0"/>
              <w:jc w:val="left"/>
              <w:rPr>
                <w:rFonts w:eastAsia="Times New Roman" w:cs="Arial"/>
                <w:b/>
                <w:bCs/>
                <w:lang w:eastAsia="en-GB"/>
              </w:rPr>
            </w:pPr>
            <w:r w:rsidRPr="00500414">
              <w:rPr>
                <w:rFonts w:eastAsia="Times New Roman" w:cs="Arial"/>
                <w:b/>
                <w:bCs/>
                <w:lang w:eastAsia="en-GB"/>
              </w:rPr>
              <w:t>Funding Gap</w:t>
            </w:r>
          </w:p>
        </w:tc>
        <w:tc>
          <w:tcPr>
            <w:tcW w:w="330" w:type="dxa"/>
            <w:tcBorders>
              <w:top w:val="nil"/>
              <w:left w:val="nil"/>
              <w:bottom w:val="single" w:sz="12" w:space="0" w:color="auto"/>
              <w:right w:val="single" w:sz="8" w:space="0" w:color="auto"/>
            </w:tcBorders>
            <w:shd w:val="clear" w:color="000000" w:fill="D9D9D9"/>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 </w:t>
            </w:r>
          </w:p>
        </w:tc>
        <w:tc>
          <w:tcPr>
            <w:tcW w:w="1140" w:type="dxa"/>
            <w:tcBorders>
              <w:top w:val="nil"/>
              <w:left w:val="nil"/>
              <w:bottom w:val="single" w:sz="12" w:space="0" w:color="auto"/>
              <w:right w:val="single" w:sz="8" w:space="0" w:color="auto"/>
            </w:tcBorders>
            <w:shd w:val="clear" w:color="000000" w:fill="D9D9D9"/>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2.319</w:t>
            </w:r>
          </w:p>
        </w:tc>
        <w:tc>
          <w:tcPr>
            <w:tcW w:w="1140" w:type="dxa"/>
            <w:tcBorders>
              <w:top w:val="nil"/>
              <w:left w:val="nil"/>
              <w:bottom w:val="single" w:sz="12" w:space="0" w:color="auto"/>
              <w:right w:val="single" w:sz="8" w:space="0" w:color="auto"/>
            </w:tcBorders>
            <w:shd w:val="clear" w:color="000000" w:fill="D9D9D9"/>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38.879</w:t>
            </w:r>
          </w:p>
        </w:tc>
        <w:tc>
          <w:tcPr>
            <w:tcW w:w="1140" w:type="dxa"/>
            <w:tcBorders>
              <w:top w:val="nil"/>
              <w:left w:val="nil"/>
              <w:bottom w:val="single" w:sz="12" w:space="0" w:color="auto"/>
              <w:right w:val="single" w:sz="8" w:space="0" w:color="auto"/>
            </w:tcBorders>
            <w:shd w:val="clear" w:color="000000" w:fill="D9D9D9"/>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12.758</w:t>
            </w:r>
          </w:p>
        </w:tc>
        <w:tc>
          <w:tcPr>
            <w:tcW w:w="1140" w:type="dxa"/>
            <w:tcBorders>
              <w:top w:val="nil"/>
              <w:left w:val="nil"/>
              <w:bottom w:val="single" w:sz="12" w:space="0" w:color="auto"/>
              <w:right w:val="single" w:sz="12" w:space="0" w:color="auto"/>
            </w:tcBorders>
            <w:shd w:val="clear" w:color="000000" w:fill="D9D9D9"/>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53.956</w:t>
            </w:r>
          </w:p>
        </w:tc>
      </w:tr>
    </w:tbl>
    <w:p w:rsidR="0046463C" w:rsidRPr="00E95F45" w:rsidRDefault="00390D21" w:rsidP="0046463C">
      <w:pPr>
        <w:spacing w:after="0"/>
        <w:rPr>
          <w:rFonts w:cs="Arial"/>
          <w:highlight w:val="yellow"/>
        </w:rPr>
      </w:pPr>
    </w:p>
    <w:p w:rsidR="0046463C" w:rsidRPr="00E95F45" w:rsidRDefault="00390D21" w:rsidP="0046463C">
      <w:pPr>
        <w:spacing w:after="0"/>
        <w:rPr>
          <w:rFonts w:cs="Arial"/>
          <w:highlight w:val="yellow"/>
        </w:rPr>
      </w:pPr>
    </w:p>
    <w:tbl>
      <w:tblPr>
        <w:tblW w:w="10055" w:type="dxa"/>
        <w:tblLook w:val="04A0" w:firstRow="1" w:lastRow="0" w:firstColumn="1" w:lastColumn="0" w:noHBand="0" w:noVBand="1"/>
      </w:tblPr>
      <w:tblGrid>
        <w:gridCol w:w="5519"/>
        <w:gridCol w:w="1512"/>
        <w:gridCol w:w="1512"/>
        <w:gridCol w:w="1512"/>
      </w:tblGrid>
      <w:tr w:rsidR="00C3717D" w:rsidTr="0046463C">
        <w:trPr>
          <w:trHeight w:val="480"/>
        </w:trPr>
        <w:tc>
          <w:tcPr>
            <w:tcW w:w="5519"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46463C" w:rsidRPr="00500414" w:rsidRDefault="00390D21" w:rsidP="0046463C">
            <w:pPr>
              <w:autoSpaceDE/>
              <w:autoSpaceDN/>
              <w:adjustRightInd/>
              <w:spacing w:after="0"/>
              <w:jc w:val="left"/>
              <w:rPr>
                <w:rFonts w:eastAsia="Times New Roman" w:cs="Arial"/>
                <w:b/>
                <w:bCs/>
                <w:lang w:eastAsia="en-GB"/>
              </w:rPr>
            </w:pPr>
            <w:r w:rsidRPr="00500414">
              <w:rPr>
                <w:rFonts w:eastAsia="Times New Roman" w:cs="Arial"/>
                <w:b/>
                <w:bCs/>
                <w:lang w:eastAsia="en-GB"/>
              </w:rPr>
              <w:t>Aggregated Funding Gap</w:t>
            </w:r>
          </w:p>
        </w:tc>
        <w:tc>
          <w:tcPr>
            <w:tcW w:w="1512" w:type="dxa"/>
            <w:tcBorders>
              <w:top w:val="single" w:sz="8" w:space="0" w:color="auto"/>
              <w:left w:val="nil"/>
              <w:bottom w:val="single" w:sz="8" w:space="0" w:color="auto"/>
              <w:right w:val="single" w:sz="8" w:space="0" w:color="auto"/>
            </w:tcBorders>
            <w:shd w:val="clear" w:color="000000" w:fill="BFBFBF"/>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2021/22</w:t>
            </w:r>
          </w:p>
        </w:tc>
        <w:tc>
          <w:tcPr>
            <w:tcW w:w="1512" w:type="dxa"/>
            <w:tcBorders>
              <w:top w:val="single" w:sz="8" w:space="0" w:color="auto"/>
              <w:left w:val="nil"/>
              <w:bottom w:val="single" w:sz="8" w:space="0" w:color="auto"/>
              <w:right w:val="single" w:sz="8" w:space="0" w:color="auto"/>
            </w:tcBorders>
            <w:shd w:val="clear" w:color="000000" w:fill="BFBFBF"/>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2022/23</w:t>
            </w:r>
          </w:p>
        </w:tc>
        <w:tc>
          <w:tcPr>
            <w:tcW w:w="1512" w:type="dxa"/>
            <w:tcBorders>
              <w:top w:val="single" w:sz="8" w:space="0" w:color="auto"/>
              <w:left w:val="nil"/>
              <w:bottom w:val="single" w:sz="8" w:space="0" w:color="auto"/>
              <w:right w:val="single" w:sz="8" w:space="0" w:color="auto"/>
            </w:tcBorders>
            <w:shd w:val="clear" w:color="000000" w:fill="BFBFBF"/>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2023/24</w:t>
            </w:r>
          </w:p>
        </w:tc>
      </w:tr>
      <w:tr w:rsidR="00C3717D" w:rsidTr="0046463C">
        <w:trPr>
          <w:trHeight w:val="345"/>
        </w:trPr>
        <w:tc>
          <w:tcPr>
            <w:tcW w:w="5519" w:type="dxa"/>
            <w:tcBorders>
              <w:top w:val="nil"/>
              <w:left w:val="single" w:sz="8" w:space="0" w:color="auto"/>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left"/>
              <w:rPr>
                <w:rFonts w:eastAsia="Times New Roman" w:cs="Arial"/>
                <w:b/>
                <w:bCs/>
                <w:lang w:eastAsia="en-GB"/>
              </w:rPr>
            </w:pPr>
            <w:r w:rsidRPr="00500414">
              <w:rPr>
                <w:rFonts w:eastAsia="Times New Roman" w:cs="Arial"/>
                <w:b/>
                <w:bCs/>
                <w:lang w:eastAsia="en-GB"/>
              </w:rPr>
              <w:t>2021/22 (£m)</w:t>
            </w:r>
          </w:p>
        </w:tc>
        <w:tc>
          <w:tcPr>
            <w:tcW w:w="1512"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2.319</w:t>
            </w:r>
          </w:p>
        </w:tc>
        <w:tc>
          <w:tcPr>
            <w:tcW w:w="1512"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2.319</w:t>
            </w:r>
          </w:p>
        </w:tc>
        <w:tc>
          <w:tcPr>
            <w:tcW w:w="1512"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2.319</w:t>
            </w:r>
          </w:p>
        </w:tc>
      </w:tr>
      <w:tr w:rsidR="00C3717D" w:rsidTr="0046463C">
        <w:trPr>
          <w:trHeight w:val="345"/>
        </w:trPr>
        <w:tc>
          <w:tcPr>
            <w:tcW w:w="5519" w:type="dxa"/>
            <w:tcBorders>
              <w:top w:val="nil"/>
              <w:left w:val="single" w:sz="8" w:space="0" w:color="auto"/>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left"/>
              <w:rPr>
                <w:rFonts w:eastAsia="Times New Roman" w:cs="Arial"/>
                <w:b/>
                <w:bCs/>
                <w:lang w:eastAsia="en-GB"/>
              </w:rPr>
            </w:pPr>
            <w:r w:rsidRPr="00500414">
              <w:rPr>
                <w:rFonts w:eastAsia="Times New Roman" w:cs="Arial"/>
                <w:b/>
                <w:bCs/>
                <w:lang w:eastAsia="en-GB"/>
              </w:rPr>
              <w:t>2022/23 (£m)</w:t>
            </w:r>
          </w:p>
        </w:tc>
        <w:tc>
          <w:tcPr>
            <w:tcW w:w="1512"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 </w:t>
            </w:r>
          </w:p>
        </w:tc>
        <w:tc>
          <w:tcPr>
            <w:tcW w:w="1512"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38.879</w:t>
            </w:r>
          </w:p>
        </w:tc>
        <w:tc>
          <w:tcPr>
            <w:tcW w:w="1512"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38.879</w:t>
            </w:r>
          </w:p>
        </w:tc>
      </w:tr>
      <w:tr w:rsidR="00C3717D" w:rsidTr="0046463C">
        <w:trPr>
          <w:trHeight w:val="435"/>
        </w:trPr>
        <w:tc>
          <w:tcPr>
            <w:tcW w:w="5519" w:type="dxa"/>
            <w:tcBorders>
              <w:top w:val="nil"/>
              <w:left w:val="single" w:sz="8" w:space="0" w:color="auto"/>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left"/>
              <w:rPr>
                <w:rFonts w:eastAsia="Times New Roman" w:cs="Arial"/>
                <w:b/>
                <w:bCs/>
                <w:lang w:eastAsia="en-GB"/>
              </w:rPr>
            </w:pPr>
            <w:r w:rsidRPr="00500414">
              <w:rPr>
                <w:rFonts w:eastAsia="Times New Roman" w:cs="Arial"/>
                <w:b/>
                <w:bCs/>
                <w:lang w:eastAsia="en-GB"/>
              </w:rPr>
              <w:t>2023/24 (£m)</w:t>
            </w:r>
          </w:p>
        </w:tc>
        <w:tc>
          <w:tcPr>
            <w:tcW w:w="1512"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 </w:t>
            </w:r>
          </w:p>
        </w:tc>
        <w:tc>
          <w:tcPr>
            <w:tcW w:w="1512"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 </w:t>
            </w:r>
          </w:p>
        </w:tc>
        <w:tc>
          <w:tcPr>
            <w:tcW w:w="1512"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12.758</w:t>
            </w:r>
          </w:p>
        </w:tc>
      </w:tr>
      <w:tr w:rsidR="00C3717D" w:rsidTr="0046463C">
        <w:trPr>
          <w:trHeight w:val="330"/>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6463C" w:rsidRPr="00500414" w:rsidRDefault="00390D21" w:rsidP="0046463C">
            <w:pPr>
              <w:autoSpaceDE/>
              <w:autoSpaceDN/>
              <w:adjustRightInd/>
              <w:spacing w:after="0"/>
              <w:jc w:val="left"/>
              <w:rPr>
                <w:rFonts w:eastAsia="Times New Roman" w:cs="Arial"/>
                <w:b/>
                <w:bCs/>
                <w:lang w:eastAsia="en-GB"/>
              </w:rPr>
            </w:pPr>
            <w:r w:rsidRPr="00500414">
              <w:rPr>
                <w:rFonts w:eastAsia="Times New Roman" w:cs="Arial"/>
                <w:b/>
                <w:bCs/>
                <w:lang w:eastAsia="en-GB"/>
              </w:rPr>
              <w:t xml:space="preserve">Total </w:t>
            </w:r>
          </w:p>
        </w:tc>
        <w:tc>
          <w:tcPr>
            <w:tcW w:w="1512" w:type="dxa"/>
            <w:tcBorders>
              <w:top w:val="nil"/>
              <w:left w:val="nil"/>
              <w:bottom w:val="single" w:sz="8" w:space="0" w:color="auto"/>
              <w:right w:val="single" w:sz="8" w:space="0" w:color="auto"/>
            </w:tcBorders>
            <w:shd w:val="clear" w:color="000000" w:fill="BFBFBF"/>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2.319</w:t>
            </w:r>
          </w:p>
        </w:tc>
        <w:tc>
          <w:tcPr>
            <w:tcW w:w="1512" w:type="dxa"/>
            <w:tcBorders>
              <w:top w:val="nil"/>
              <w:left w:val="nil"/>
              <w:bottom w:val="single" w:sz="8" w:space="0" w:color="auto"/>
              <w:right w:val="single" w:sz="8" w:space="0" w:color="auto"/>
            </w:tcBorders>
            <w:shd w:val="clear" w:color="000000" w:fill="BFBFBF"/>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41.198</w:t>
            </w:r>
          </w:p>
        </w:tc>
        <w:tc>
          <w:tcPr>
            <w:tcW w:w="1512" w:type="dxa"/>
            <w:tcBorders>
              <w:top w:val="nil"/>
              <w:left w:val="nil"/>
              <w:bottom w:val="single" w:sz="8" w:space="0" w:color="auto"/>
              <w:right w:val="single" w:sz="8" w:space="0" w:color="auto"/>
            </w:tcBorders>
            <w:shd w:val="clear" w:color="000000" w:fill="BFBFBF"/>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53.956</w:t>
            </w:r>
          </w:p>
        </w:tc>
      </w:tr>
      <w:tr w:rsidR="00C3717D" w:rsidTr="0046463C">
        <w:trPr>
          <w:trHeight w:val="330"/>
        </w:trPr>
        <w:tc>
          <w:tcPr>
            <w:tcW w:w="5519" w:type="dxa"/>
            <w:tcBorders>
              <w:top w:val="nil"/>
              <w:left w:val="single" w:sz="8" w:space="0" w:color="auto"/>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left"/>
              <w:rPr>
                <w:rFonts w:eastAsia="Times New Roman" w:cs="Arial"/>
                <w:b/>
                <w:bCs/>
                <w:lang w:eastAsia="en-GB"/>
              </w:rPr>
            </w:pPr>
            <w:r w:rsidRPr="00500414">
              <w:rPr>
                <w:rFonts w:eastAsia="Times New Roman" w:cs="Arial"/>
                <w:b/>
                <w:bCs/>
                <w:lang w:eastAsia="en-GB"/>
              </w:rPr>
              <w:t> </w:t>
            </w:r>
          </w:p>
        </w:tc>
        <w:tc>
          <w:tcPr>
            <w:tcW w:w="1512"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 </w:t>
            </w:r>
          </w:p>
        </w:tc>
        <w:tc>
          <w:tcPr>
            <w:tcW w:w="1512"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 </w:t>
            </w:r>
          </w:p>
        </w:tc>
        <w:tc>
          <w:tcPr>
            <w:tcW w:w="1512" w:type="dxa"/>
            <w:tcBorders>
              <w:top w:val="nil"/>
              <w:left w:val="nil"/>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right"/>
              <w:rPr>
                <w:rFonts w:eastAsia="Times New Roman" w:cs="Arial"/>
                <w:lang w:eastAsia="en-GB"/>
              </w:rPr>
            </w:pPr>
            <w:r w:rsidRPr="00500414">
              <w:rPr>
                <w:rFonts w:eastAsia="Times New Roman" w:cs="Arial"/>
                <w:lang w:eastAsia="en-GB"/>
              </w:rPr>
              <w:t> </w:t>
            </w:r>
          </w:p>
        </w:tc>
      </w:tr>
      <w:tr w:rsidR="00C3717D" w:rsidTr="0046463C">
        <w:trPr>
          <w:trHeight w:val="375"/>
        </w:trPr>
        <w:tc>
          <w:tcPr>
            <w:tcW w:w="5519" w:type="dxa"/>
            <w:tcBorders>
              <w:top w:val="nil"/>
              <w:left w:val="single" w:sz="8" w:space="0" w:color="auto"/>
              <w:bottom w:val="single" w:sz="8" w:space="0" w:color="auto"/>
              <w:right w:val="single" w:sz="8" w:space="0" w:color="auto"/>
            </w:tcBorders>
            <w:shd w:val="clear" w:color="auto" w:fill="auto"/>
            <w:vAlign w:val="center"/>
            <w:hideMark/>
          </w:tcPr>
          <w:p w:rsidR="0046463C" w:rsidRPr="00500414" w:rsidRDefault="00390D21" w:rsidP="0046463C">
            <w:pPr>
              <w:autoSpaceDE/>
              <w:autoSpaceDN/>
              <w:adjustRightInd/>
              <w:spacing w:after="0"/>
              <w:jc w:val="left"/>
              <w:rPr>
                <w:rFonts w:eastAsia="Times New Roman" w:cs="Arial"/>
                <w:b/>
                <w:bCs/>
                <w:lang w:eastAsia="en-GB"/>
              </w:rPr>
            </w:pPr>
            <w:r w:rsidRPr="00500414">
              <w:rPr>
                <w:rFonts w:eastAsia="Times New Roman" w:cs="Arial"/>
                <w:b/>
                <w:bCs/>
                <w:lang w:eastAsia="en-GB"/>
              </w:rPr>
              <w:t>Previous position (£m)</w:t>
            </w:r>
          </w:p>
        </w:tc>
        <w:tc>
          <w:tcPr>
            <w:tcW w:w="1512" w:type="dxa"/>
            <w:tcBorders>
              <w:top w:val="nil"/>
              <w:left w:val="nil"/>
              <w:bottom w:val="single" w:sz="8" w:space="0" w:color="auto"/>
              <w:right w:val="single" w:sz="8" w:space="0" w:color="auto"/>
            </w:tcBorders>
            <w:shd w:val="clear" w:color="000000" w:fill="BFBFBF"/>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50.368</w:t>
            </w:r>
          </w:p>
        </w:tc>
        <w:tc>
          <w:tcPr>
            <w:tcW w:w="1512" w:type="dxa"/>
            <w:tcBorders>
              <w:top w:val="nil"/>
              <w:left w:val="nil"/>
              <w:bottom w:val="single" w:sz="8" w:space="0" w:color="auto"/>
              <w:right w:val="single" w:sz="8" w:space="0" w:color="auto"/>
            </w:tcBorders>
            <w:shd w:val="clear" w:color="000000" w:fill="BFBFBF"/>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63.554</w:t>
            </w:r>
          </w:p>
        </w:tc>
        <w:tc>
          <w:tcPr>
            <w:tcW w:w="1512" w:type="dxa"/>
            <w:tcBorders>
              <w:top w:val="nil"/>
              <w:left w:val="nil"/>
              <w:bottom w:val="single" w:sz="8" w:space="0" w:color="auto"/>
              <w:right w:val="single" w:sz="8" w:space="0" w:color="auto"/>
            </w:tcBorders>
            <w:shd w:val="clear" w:color="000000" w:fill="BFBFBF"/>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78.791</w:t>
            </w:r>
          </w:p>
        </w:tc>
      </w:tr>
      <w:tr w:rsidR="00C3717D" w:rsidTr="0046463C">
        <w:trPr>
          <w:trHeight w:val="360"/>
        </w:trPr>
        <w:tc>
          <w:tcPr>
            <w:tcW w:w="5519" w:type="dxa"/>
            <w:tcBorders>
              <w:top w:val="nil"/>
              <w:left w:val="single" w:sz="8" w:space="0" w:color="auto"/>
              <w:bottom w:val="single" w:sz="8" w:space="0" w:color="auto"/>
              <w:right w:val="single" w:sz="8" w:space="0" w:color="auto"/>
            </w:tcBorders>
            <w:shd w:val="clear" w:color="000000" w:fill="BFBFBF"/>
            <w:vAlign w:val="center"/>
            <w:hideMark/>
          </w:tcPr>
          <w:p w:rsidR="0046463C" w:rsidRPr="00500414" w:rsidRDefault="00390D21" w:rsidP="0046463C">
            <w:pPr>
              <w:autoSpaceDE/>
              <w:autoSpaceDN/>
              <w:adjustRightInd/>
              <w:spacing w:after="0"/>
              <w:jc w:val="left"/>
              <w:rPr>
                <w:rFonts w:eastAsia="Times New Roman" w:cs="Arial"/>
                <w:b/>
                <w:bCs/>
                <w:lang w:eastAsia="en-GB"/>
              </w:rPr>
            </w:pPr>
            <w:r w:rsidRPr="00500414">
              <w:rPr>
                <w:rFonts w:eastAsia="Times New Roman" w:cs="Arial"/>
                <w:b/>
                <w:bCs/>
                <w:lang w:eastAsia="en-GB"/>
              </w:rPr>
              <w:t>Variance (£m)</w:t>
            </w:r>
          </w:p>
        </w:tc>
        <w:tc>
          <w:tcPr>
            <w:tcW w:w="1512" w:type="dxa"/>
            <w:tcBorders>
              <w:top w:val="nil"/>
              <w:left w:val="nil"/>
              <w:bottom w:val="single" w:sz="8" w:space="0" w:color="auto"/>
              <w:right w:val="single" w:sz="8" w:space="0" w:color="auto"/>
            </w:tcBorders>
            <w:shd w:val="clear" w:color="000000" w:fill="BFBFBF"/>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-48.049</w:t>
            </w:r>
          </w:p>
        </w:tc>
        <w:tc>
          <w:tcPr>
            <w:tcW w:w="1512" w:type="dxa"/>
            <w:tcBorders>
              <w:top w:val="nil"/>
              <w:left w:val="nil"/>
              <w:bottom w:val="single" w:sz="8" w:space="0" w:color="auto"/>
              <w:right w:val="single" w:sz="8" w:space="0" w:color="auto"/>
            </w:tcBorders>
            <w:shd w:val="clear" w:color="000000" w:fill="BFBFBF"/>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-22.356</w:t>
            </w:r>
          </w:p>
        </w:tc>
        <w:tc>
          <w:tcPr>
            <w:tcW w:w="1512" w:type="dxa"/>
            <w:tcBorders>
              <w:top w:val="nil"/>
              <w:left w:val="nil"/>
              <w:bottom w:val="single" w:sz="8" w:space="0" w:color="auto"/>
              <w:right w:val="single" w:sz="8" w:space="0" w:color="auto"/>
            </w:tcBorders>
            <w:shd w:val="clear" w:color="000000" w:fill="BFBFBF"/>
            <w:vAlign w:val="center"/>
            <w:hideMark/>
          </w:tcPr>
          <w:p w:rsidR="0046463C" w:rsidRPr="00500414" w:rsidRDefault="00390D21" w:rsidP="0046463C">
            <w:pPr>
              <w:autoSpaceDE/>
              <w:autoSpaceDN/>
              <w:adjustRightInd/>
              <w:spacing w:after="0"/>
              <w:jc w:val="right"/>
              <w:rPr>
                <w:rFonts w:eastAsia="Times New Roman" w:cs="Arial"/>
                <w:b/>
                <w:bCs/>
                <w:lang w:eastAsia="en-GB"/>
              </w:rPr>
            </w:pPr>
            <w:r w:rsidRPr="00500414">
              <w:rPr>
                <w:rFonts w:eastAsia="Times New Roman" w:cs="Arial"/>
                <w:b/>
                <w:bCs/>
                <w:lang w:eastAsia="en-GB"/>
              </w:rPr>
              <w:t>-24.835</w:t>
            </w:r>
          </w:p>
        </w:tc>
      </w:tr>
    </w:tbl>
    <w:p w:rsidR="0046463C" w:rsidRDefault="00390D21" w:rsidP="0046463C">
      <w:pPr>
        <w:spacing w:after="0"/>
        <w:rPr>
          <w:rFonts w:cs="Arial"/>
        </w:rPr>
      </w:pPr>
    </w:p>
    <w:p w:rsidR="0046463C" w:rsidRDefault="00390D21" w:rsidP="0046463C">
      <w:pPr>
        <w:spacing w:after="0"/>
        <w:rPr>
          <w:rFonts w:cs="Arial"/>
        </w:rPr>
      </w:pPr>
    </w:p>
    <w:p w:rsidR="0046463C" w:rsidRDefault="00390D21" w:rsidP="0046463C">
      <w:pPr>
        <w:spacing w:after="0"/>
        <w:rPr>
          <w:rFonts w:cs="Arial"/>
        </w:rPr>
      </w:pPr>
      <w:r w:rsidRPr="001D6211">
        <w:rPr>
          <w:rFonts w:cs="Arial"/>
        </w:rPr>
        <w:t>The graph below demonstrates the drivers that make up the changes in the financial surplus of £1.358m carried forward from 2020/21 to the cumulative position of £</w:t>
      </w:r>
      <w:r>
        <w:rPr>
          <w:rFonts w:cs="Arial"/>
        </w:rPr>
        <w:t>53.956</w:t>
      </w:r>
      <w:r w:rsidRPr="001D6211">
        <w:rPr>
          <w:rFonts w:cs="Arial"/>
        </w:rPr>
        <w:t xml:space="preserve">m in the financial year 2023/24 shown in the table above: </w:t>
      </w:r>
    </w:p>
    <w:p w:rsidR="0046463C" w:rsidRDefault="00390D21" w:rsidP="0046463C">
      <w:pPr>
        <w:spacing w:after="0"/>
        <w:rPr>
          <w:rFonts w:cs="Arial"/>
        </w:rPr>
      </w:pPr>
    </w:p>
    <w:p w:rsidR="0046463C" w:rsidRPr="001D6211" w:rsidRDefault="00390D21" w:rsidP="0046463C">
      <w:pPr>
        <w:spacing w:after="0"/>
        <w:rPr>
          <w:rFonts w:cs="Arial"/>
        </w:rPr>
      </w:pPr>
      <w:r>
        <w:rPr>
          <w:rFonts w:cs="Arial"/>
          <w:noProof/>
          <w:lang w:eastAsia="en-GB"/>
        </w:rPr>
        <w:drawing>
          <wp:inline distT="0" distB="0" distL="0" distR="0">
            <wp:extent cx="6151245" cy="417639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584998"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151245" cy="4176395"/>
                    </a:xfrm>
                    <a:prstGeom prst="rect">
                      <a:avLst/>
                    </a:prstGeom>
                    <a:noFill/>
                  </pic:spPr>
                </pic:pic>
              </a:graphicData>
            </a:graphic>
          </wp:inline>
        </w:drawing>
      </w:r>
    </w:p>
    <w:p w:rsidR="0046463C" w:rsidRDefault="00390D21" w:rsidP="0046463C">
      <w:pPr>
        <w:spacing w:after="0"/>
        <w:rPr>
          <w:rFonts w:cs="Arial"/>
          <w:highlight w:val="yellow"/>
        </w:rPr>
      </w:pPr>
    </w:p>
    <w:p w:rsidR="0046463C" w:rsidRDefault="00390D21" w:rsidP="0046463C">
      <w:pPr>
        <w:spacing w:after="0"/>
        <w:rPr>
          <w:rFonts w:cs="Arial"/>
          <w:highlight w:val="yellow"/>
        </w:rPr>
      </w:pPr>
    </w:p>
    <w:p w:rsidR="0046463C" w:rsidRPr="001D6211" w:rsidRDefault="00390D21" w:rsidP="0046463C">
      <w:pPr>
        <w:spacing w:after="0"/>
        <w:rPr>
          <w:rFonts w:cs="Arial"/>
        </w:rPr>
      </w:pPr>
    </w:p>
    <w:p w:rsidR="0046463C" w:rsidRPr="001D6211" w:rsidRDefault="00390D21" w:rsidP="0046463C">
      <w:pPr>
        <w:spacing w:after="0"/>
        <w:rPr>
          <w:rFonts w:cs="Arial"/>
        </w:rPr>
      </w:pPr>
    </w:p>
    <w:p w:rsidR="0046463C" w:rsidRDefault="00390D21" w:rsidP="0046463C">
      <w:pPr>
        <w:spacing w:after="0"/>
        <w:jc w:val="center"/>
        <w:rPr>
          <w:rFonts w:cs="Arial"/>
        </w:rPr>
      </w:pPr>
    </w:p>
    <w:p w:rsidR="0046463C" w:rsidRDefault="00390D21" w:rsidP="0046463C">
      <w:pPr>
        <w:spacing w:after="0"/>
        <w:jc w:val="center"/>
        <w:rPr>
          <w:rFonts w:cs="Arial"/>
        </w:rPr>
      </w:pPr>
    </w:p>
    <w:p w:rsidR="0046463C" w:rsidRDefault="00390D21" w:rsidP="0046463C">
      <w:pPr>
        <w:spacing w:after="0"/>
        <w:jc w:val="center"/>
        <w:rPr>
          <w:rFonts w:cs="Arial"/>
        </w:rPr>
      </w:pPr>
    </w:p>
    <w:p w:rsidR="0046463C" w:rsidRDefault="00390D21" w:rsidP="0046463C">
      <w:pPr>
        <w:spacing w:after="0"/>
        <w:jc w:val="center"/>
        <w:rPr>
          <w:rFonts w:cs="Arial"/>
        </w:rPr>
      </w:pPr>
    </w:p>
    <w:p w:rsidR="0046463C" w:rsidRDefault="00390D21" w:rsidP="0046463C">
      <w:pPr>
        <w:spacing w:after="0"/>
        <w:jc w:val="center"/>
        <w:rPr>
          <w:rFonts w:cs="Arial"/>
        </w:rPr>
      </w:pPr>
    </w:p>
    <w:p w:rsidR="0046463C" w:rsidRDefault="00390D21" w:rsidP="0046463C">
      <w:pPr>
        <w:spacing w:after="0"/>
        <w:jc w:val="center"/>
        <w:rPr>
          <w:rFonts w:cs="Arial"/>
        </w:rPr>
      </w:pPr>
    </w:p>
    <w:p w:rsidR="0046463C" w:rsidRDefault="00390D21" w:rsidP="0046463C">
      <w:pPr>
        <w:spacing w:after="0"/>
        <w:jc w:val="center"/>
        <w:rPr>
          <w:rFonts w:cs="Arial"/>
        </w:rPr>
      </w:pPr>
    </w:p>
    <w:p w:rsidR="0046463C" w:rsidRDefault="00390D21" w:rsidP="0046463C">
      <w:pPr>
        <w:spacing w:after="0"/>
        <w:jc w:val="center"/>
        <w:rPr>
          <w:rFonts w:cs="Arial"/>
        </w:rPr>
      </w:pPr>
    </w:p>
    <w:p w:rsidR="0046463C" w:rsidRDefault="00390D21" w:rsidP="0046463C">
      <w:pPr>
        <w:spacing w:after="0"/>
        <w:jc w:val="center"/>
        <w:rPr>
          <w:rFonts w:cs="Arial"/>
        </w:rPr>
      </w:pPr>
    </w:p>
    <w:p w:rsidR="0046463C" w:rsidRDefault="00390D21" w:rsidP="0046463C">
      <w:pPr>
        <w:spacing w:after="0"/>
        <w:jc w:val="center"/>
        <w:rPr>
          <w:rFonts w:cs="Arial"/>
        </w:rPr>
      </w:pPr>
    </w:p>
    <w:p w:rsidR="0046463C" w:rsidRDefault="00390D21" w:rsidP="0046463C">
      <w:pPr>
        <w:spacing w:after="0"/>
        <w:jc w:val="center"/>
        <w:rPr>
          <w:rFonts w:cs="Arial"/>
        </w:rPr>
      </w:pPr>
    </w:p>
    <w:p w:rsidR="0046463C" w:rsidRDefault="00390D21" w:rsidP="0046463C">
      <w:pPr>
        <w:spacing w:after="0"/>
        <w:jc w:val="center"/>
        <w:rPr>
          <w:rFonts w:cs="Arial"/>
        </w:rPr>
      </w:pPr>
    </w:p>
    <w:p w:rsidR="0046463C" w:rsidRDefault="00390D21" w:rsidP="0046463C">
      <w:pPr>
        <w:spacing w:after="0"/>
        <w:jc w:val="center"/>
        <w:rPr>
          <w:rFonts w:cs="Arial"/>
        </w:rPr>
      </w:pPr>
    </w:p>
    <w:p w:rsidR="0046463C" w:rsidRDefault="00390D21" w:rsidP="0046463C">
      <w:pPr>
        <w:spacing w:after="0"/>
        <w:jc w:val="center"/>
        <w:rPr>
          <w:rFonts w:cs="Arial"/>
        </w:rPr>
      </w:pPr>
    </w:p>
    <w:p w:rsidR="0046463C" w:rsidRDefault="00390D21" w:rsidP="0046463C">
      <w:pPr>
        <w:tabs>
          <w:tab w:val="left" w:pos="567"/>
          <w:tab w:val="left" w:pos="1134"/>
        </w:tabs>
        <w:spacing w:after="0"/>
        <w:rPr>
          <w:rFonts w:cs="Arial"/>
        </w:rPr>
      </w:pPr>
    </w:p>
    <w:p w:rsidR="0046463C" w:rsidRDefault="00390D21" w:rsidP="0046463C">
      <w:pPr>
        <w:tabs>
          <w:tab w:val="left" w:pos="567"/>
          <w:tab w:val="left" w:pos="1134"/>
        </w:tabs>
        <w:spacing w:after="0"/>
        <w:rPr>
          <w:rFonts w:cs="Arial"/>
        </w:rPr>
      </w:pPr>
    </w:p>
    <w:p w:rsidR="0046463C" w:rsidRPr="001D6211" w:rsidRDefault="00390D21" w:rsidP="0046463C">
      <w:pPr>
        <w:tabs>
          <w:tab w:val="left" w:pos="567"/>
          <w:tab w:val="left" w:pos="1134"/>
        </w:tabs>
        <w:spacing w:after="0"/>
        <w:rPr>
          <w:rFonts w:cs="Arial"/>
          <w:b/>
        </w:rPr>
      </w:pPr>
    </w:p>
    <w:p w:rsidR="0046463C" w:rsidRPr="001D6211" w:rsidRDefault="00390D21" w:rsidP="0046463C">
      <w:pPr>
        <w:tabs>
          <w:tab w:val="left" w:pos="567"/>
          <w:tab w:val="left" w:pos="1134"/>
        </w:tabs>
        <w:spacing w:after="0"/>
        <w:rPr>
          <w:rFonts w:cs="Arial"/>
          <w:b/>
        </w:rPr>
      </w:pPr>
      <w:r w:rsidRPr="001D6211">
        <w:rPr>
          <w:rFonts w:cs="Arial"/>
          <w:b/>
        </w:rPr>
        <w:lastRenderedPageBreak/>
        <w:t>2. Funding</w:t>
      </w:r>
    </w:p>
    <w:p w:rsidR="0046463C" w:rsidRPr="00E95F45" w:rsidRDefault="00390D21" w:rsidP="0046463C">
      <w:pPr>
        <w:tabs>
          <w:tab w:val="left" w:pos="567"/>
          <w:tab w:val="left" w:pos="1134"/>
        </w:tabs>
        <w:spacing w:after="0"/>
        <w:rPr>
          <w:rFonts w:cs="Arial"/>
          <w:b/>
          <w:highlight w:val="yellow"/>
        </w:rPr>
      </w:pPr>
    </w:p>
    <w:p w:rsidR="0046463C" w:rsidRDefault="00390D21" w:rsidP="0046463C">
      <w:pPr>
        <w:tabs>
          <w:tab w:val="left" w:pos="567"/>
          <w:tab w:val="left" w:pos="1134"/>
        </w:tabs>
        <w:spacing w:after="0"/>
        <w:rPr>
          <w:rFonts w:cs="Arial"/>
          <w:color w:val="0B0C0C"/>
          <w:shd w:val="clear" w:color="auto" w:fill="FFFFFF"/>
        </w:rPr>
      </w:pPr>
      <w:r w:rsidRPr="00D259B1">
        <w:t>On 25</w:t>
      </w:r>
      <w:r w:rsidRPr="00D259B1">
        <w:rPr>
          <w:vertAlign w:val="superscript"/>
        </w:rPr>
        <w:t>th</w:t>
      </w:r>
      <w:r w:rsidRPr="00D259B1">
        <w:t xml:space="preserve"> November </w:t>
      </w:r>
      <w:r>
        <w:t>t</w:t>
      </w:r>
      <w:r w:rsidRPr="00D259B1">
        <w:t>he Chancellor announced the Spending Review 2020</w:t>
      </w:r>
      <w:r>
        <w:t xml:space="preserve"> (SR20)</w:t>
      </w:r>
      <w:r w:rsidRPr="00D259B1">
        <w:t xml:space="preserve">. </w:t>
      </w:r>
      <w:r w:rsidRPr="00D259B1">
        <w:rPr>
          <w:rFonts w:cs="Arial"/>
        </w:rPr>
        <w:t xml:space="preserve">Whilst a multi-year Spending Review was originally expected, the </w:t>
      </w:r>
      <w:r w:rsidRPr="00D259B1">
        <w:rPr>
          <w:rFonts w:cs="Arial"/>
          <w:color w:val="0B0C0C"/>
          <w:shd w:val="clear" w:color="auto" w:fill="FFFFFF"/>
        </w:rPr>
        <w:t xml:space="preserve">Chancellor and </w:t>
      </w:r>
      <w:r w:rsidRPr="00D259B1">
        <w:rPr>
          <w:rFonts w:cs="Arial"/>
          <w:color w:val="0B0C0C"/>
          <w:shd w:val="clear" w:color="auto" w:fill="FFFFFF"/>
        </w:rPr>
        <w:t>the Prime Minister decided to conduct a one-year Spending Review, setting department’s resource and capital budgets for 2021/22 only in order to prioritise the response to Covid-1</w:t>
      </w:r>
      <w:r>
        <w:rPr>
          <w:rFonts w:cs="Arial"/>
          <w:color w:val="0B0C0C"/>
          <w:shd w:val="clear" w:color="auto" w:fill="FFFFFF"/>
        </w:rPr>
        <w:t>9 and focus on supporting jobs.</w:t>
      </w:r>
    </w:p>
    <w:p w:rsidR="0046463C" w:rsidRDefault="00390D21" w:rsidP="0046463C">
      <w:pPr>
        <w:tabs>
          <w:tab w:val="left" w:pos="567"/>
          <w:tab w:val="left" w:pos="1134"/>
        </w:tabs>
        <w:spacing w:after="0"/>
        <w:rPr>
          <w:rFonts w:cs="Arial"/>
          <w:color w:val="0B0C0C"/>
          <w:shd w:val="clear" w:color="auto" w:fill="FFFFFF"/>
        </w:rPr>
      </w:pPr>
    </w:p>
    <w:p w:rsidR="0046463C" w:rsidRPr="000B7F3C" w:rsidRDefault="00390D21" w:rsidP="0046463C">
      <w:pPr>
        <w:tabs>
          <w:tab w:val="left" w:pos="567"/>
          <w:tab w:val="left" w:pos="1134"/>
        </w:tabs>
        <w:spacing w:after="0"/>
        <w:rPr>
          <w:highlight w:val="yellow"/>
        </w:rPr>
      </w:pPr>
      <w:r>
        <w:rPr>
          <w:rFonts w:cs="Arial"/>
          <w:color w:val="0B0C0C"/>
          <w:shd w:val="clear" w:color="auto" w:fill="FFFFFF"/>
        </w:rPr>
        <w:t xml:space="preserve">The Provisional Settlement was announced on </w:t>
      </w:r>
      <w:r>
        <w:rPr>
          <w:rFonts w:cs="Arial"/>
          <w:color w:val="0B0C0C"/>
          <w:shd w:val="clear" w:color="auto" w:fill="FFFFFF"/>
        </w:rPr>
        <w:t>17</w:t>
      </w:r>
      <w:r w:rsidRPr="00D259B1">
        <w:rPr>
          <w:rFonts w:cs="Arial"/>
          <w:color w:val="0B0C0C"/>
          <w:shd w:val="clear" w:color="auto" w:fill="FFFFFF"/>
          <w:vertAlign w:val="superscript"/>
        </w:rPr>
        <w:t>th</w:t>
      </w:r>
      <w:r>
        <w:rPr>
          <w:rFonts w:cs="Arial"/>
          <w:color w:val="0B0C0C"/>
          <w:shd w:val="clear" w:color="auto" w:fill="FFFFFF"/>
        </w:rPr>
        <w:t xml:space="preserve"> December 2020 and confirmed the funding streams that were included within SR20 and provided more detailed information and allocations for councils. </w:t>
      </w:r>
    </w:p>
    <w:p w:rsidR="0046463C" w:rsidRPr="000B7F3C" w:rsidRDefault="00390D21">
      <w:pPr>
        <w:tabs>
          <w:tab w:val="left" w:pos="567"/>
          <w:tab w:val="left" w:pos="1134"/>
        </w:tabs>
        <w:spacing w:after="0"/>
        <w:rPr>
          <w:highlight w:val="yellow"/>
        </w:rPr>
      </w:pPr>
    </w:p>
    <w:p w:rsidR="0046463C" w:rsidRPr="00B4774F" w:rsidRDefault="00390D21" w:rsidP="0046463C">
      <w:pPr>
        <w:tabs>
          <w:tab w:val="left" w:pos="567"/>
          <w:tab w:val="left" w:pos="1134"/>
        </w:tabs>
        <w:spacing w:after="0"/>
        <w:rPr>
          <w:b/>
        </w:rPr>
      </w:pPr>
      <w:r w:rsidRPr="00B4774F">
        <w:rPr>
          <w:b/>
        </w:rPr>
        <w:t>Business Rates</w:t>
      </w:r>
    </w:p>
    <w:p w:rsidR="0046463C" w:rsidRPr="00B4774F" w:rsidRDefault="00390D21" w:rsidP="0046463C">
      <w:pPr>
        <w:tabs>
          <w:tab w:val="left" w:pos="567"/>
          <w:tab w:val="left" w:pos="1134"/>
        </w:tabs>
        <w:spacing w:after="0"/>
      </w:pPr>
      <w:r>
        <w:t xml:space="preserve">A review of the business rates system has been pending for a number of years, with early development of a new system taking place with pilots and elements of the system being consulted on. This has however been paused due to the pandemic and the </w:t>
      </w:r>
      <w:r w:rsidRPr="00B4774F">
        <w:t xml:space="preserve">effect of </w:t>
      </w:r>
      <w:r w:rsidRPr="00B4774F">
        <w:t>Covid-19 on the economy, has made fundamental change to business rates, which could even see them being replaced with a different business tax, much more likely.</w:t>
      </w:r>
    </w:p>
    <w:p w:rsidR="0046463C" w:rsidRPr="000B7F3C" w:rsidRDefault="00390D21" w:rsidP="0046463C">
      <w:pPr>
        <w:spacing w:after="0"/>
        <w:rPr>
          <w:highlight w:val="yellow"/>
        </w:rPr>
      </w:pPr>
    </w:p>
    <w:p w:rsidR="0046463C" w:rsidRPr="00B4774F" w:rsidRDefault="00390D21" w:rsidP="0046463C">
      <w:pPr>
        <w:spacing w:after="0"/>
        <w:rPr>
          <w:rFonts w:ascii="Calibri" w:eastAsiaTheme="minorHAnsi" w:hAnsi="Calibri" w:cs="Calibri"/>
          <w:color w:val="auto"/>
          <w:sz w:val="22"/>
          <w:szCs w:val="22"/>
        </w:rPr>
      </w:pPr>
      <w:r w:rsidRPr="00B4774F">
        <w:rPr>
          <w:b/>
        </w:rPr>
        <w:t>Fair Funding Formula</w:t>
      </w:r>
    </w:p>
    <w:p w:rsidR="0046463C" w:rsidRDefault="00390D21">
      <w:pPr>
        <w:tabs>
          <w:tab w:val="left" w:pos="567"/>
          <w:tab w:val="left" w:pos="1134"/>
        </w:tabs>
        <w:spacing w:after="0"/>
        <w:rPr>
          <w:rFonts w:cs="Arial"/>
        </w:rPr>
      </w:pPr>
      <w:r w:rsidRPr="00B4774F">
        <w:rPr>
          <w:rFonts w:cs="Arial"/>
        </w:rPr>
        <w:t>The fair funding formula was due to be in place by April 2021.  Followin</w:t>
      </w:r>
      <w:r w:rsidRPr="00B4774F">
        <w:rPr>
          <w:rFonts w:cs="Arial"/>
        </w:rPr>
        <w:t>g the Covid pandemic, this has been delayed until at least April 2022.</w:t>
      </w:r>
    </w:p>
    <w:p w:rsidR="0046463C" w:rsidRDefault="00390D21">
      <w:pPr>
        <w:tabs>
          <w:tab w:val="left" w:pos="567"/>
          <w:tab w:val="left" w:pos="1134"/>
        </w:tabs>
        <w:spacing w:after="0"/>
        <w:rPr>
          <w:rFonts w:cs="Arial"/>
        </w:rPr>
      </w:pPr>
    </w:p>
    <w:p w:rsidR="0046463C" w:rsidRPr="00B4774F" w:rsidRDefault="00390D21">
      <w:pPr>
        <w:tabs>
          <w:tab w:val="left" w:pos="567"/>
          <w:tab w:val="left" w:pos="1134"/>
        </w:tabs>
        <w:spacing w:after="0"/>
        <w:rPr>
          <w:rFonts w:cs="Arial"/>
        </w:rPr>
      </w:pPr>
      <w:r>
        <w:rPr>
          <w:rFonts w:cs="Arial"/>
        </w:rPr>
        <w:t>As part of the announcement of the provisional settlement the secretary of state could not provide certainty at this stage of the revised date that the fair funding formula and changes</w:t>
      </w:r>
      <w:r>
        <w:rPr>
          <w:rFonts w:cs="Arial"/>
        </w:rPr>
        <w:t xml:space="preserve"> to the business rates system will take place due to the ongoing impact of the pandemic. </w:t>
      </w:r>
    </w:p>
    <w:p w:rsidR="0046463C" w:rsidRPr="00B4774F" w:rsidRDefault="00390D21">
      <w:pPr>
        <w:tabs>
          <w:tab w:val="left" w:pos="567"/>
          <w:tab w:val="left" w:pos="1134"/>
        </w:tabs>
        <w:spacing w:after="0"/>
        <w:rPr>
          <w:rFonts w:cs="Arial"/>
        </w:rPr>
      </w:pPr>
    </w:p>
    <w:p w:rsidR="0046463C" w:rsidRPr="00B4774F" w:rsidRDefault="00390D21" w:rsidP="0046463C">
      <w:pPr>
        <w:tabs>
          <w:tab w:val="left" w:pos="567"/>
          <w:tab w:val="left" w:pos="1134"/>
        </w:tabs>
        <w:spacing w:after="0"/>
        <w:rPr>
          <w:rFonts w:cs="Arial"/>
        </w:rPr>
      </w:pPr>
      <w:r w:rsidRPr="00B4774F">
        <w:rPr>
          <w:rFonts w:cs="Arial"/>
        </w:rPr>
        <w:t xml:space="preserve">Due to the financial uncertainty created by the pandemic it has been necessary to make some assumptions around the future funding envelope, the most significant </w:t>
      </w:r>
      <w:r w:rsidRPr="00B4774F">
        <w:rPr>
          <w:rFonts w:cs="Arial"/>
        </w:rPr>
        <w:t>being:</w:t>
      </w:r>
    </w:p>
    <w:p w:rsidR="0046463C" w:rsidRPr="000B7F3C" w:rsidRDefault="00390D21" w:rsidP="0046463C">
      <w:pPr>
        <w:tabs>
          <w:tab w:val="left" w:pos="567"/>
          <w:tab w:val="left" w:pos="1134"/>
        </w:tabs>
        <w:spacing w:after="0"/>
        <w:rPr>
          <w:rFonts w:cs="Arial"/>
          <w:highlight w:val="yellow"/>
        </w:rPr>
      </w:pPr>
    </w:p>
    <w:p w:rsidR="0046463C" w:rsidRPr="00B4774F" w:rsidRDefault="00390D21" w:rsidP="0046463C">
      <w:pPr>
        <w:numPr>
          <w:ilvl w:val="0"/>
          <w:numId w:val="45"/>
        </w:numPr>
        <w:tabs>
          <w:tab w:val="left" w:pos="567"/>
          <w:tab w:val="left" w:pos="1134"/>
        </w:tabs>
        <w:spacing w:after="0"/>
        <w:ind w:left="567" w:hanging="207"/>
        <w:contextualSpacing/>
        <w:rPr>
          <w:rFonts w:cs="Arial"/>
        </w:rPr>
      </w:pPr>
      <w:r w:rsidRPr="00B4774F">
        <w:rPr>
          <w:rFonts w:cs="Arial"/>
        </w:rPr>
        <w:t>From the latest returns from districts, the council's share of a collection fund deficit of c£20.7m is forecast. In line with government guidance this is to be repaid over financial years 2021/22</w:t>
      </w:r>
      <w:r>
        <w:rPr>
          <w:rFonts w:cs="Arial"/>
        </w:rPr>
        <w:t xml:space="preserve"> </w:t>
      </w:r>
      <w:r w:rsidRPr="00B4774F">
        <w:rPr>
          <w:rFonts w:cs="Arial"/>
        </w:rPr>
        <w:t>-</w:t>
      </w:r>
      <w:r>
        <w:rPr>
          <w:rFonts w:cs="Arial"/>
        </w:rPr>
        <w:t xml:space="preserve"> </w:t>
      </w:r>
      <w:r w:rsidRPr="00B4774F">
        <w:rPr>
          <w:rFonts w:cs="Arial"/>
        </w:rPr>
        <w:t>2023/24. This has been reduced by 75% to reflect t</w:t>
      </w:r>
      <w:r w:rsidRPr="00B4774F">
        <w:rPr>
          <w:rFonts w:cs="Arial"/>
        </w:rPr>
        <w:t xml:space="preserve">he additional support to be provided to councils. </w:t>
      </w:r>
    </w:p>
    <w:p w:rsidR="0046463C" w:rsidRPr="00B4774F" w:rsidRDefault="00390D21" w:rsidP="0046463C">
      <w:pPr>
        <w:numPr>
          <w:ilvl w:val="0"/>
          <w:numId w:val="45"/>
        </w:numPr>
        <w:tabs>
          <w:tab w:val="left" w:pos="567"/>
          <w:tab w:val="left" w:pos="1134"/>
        </w:tabs>
        <w:spacing w:after="0"/>
        <w:ind w:left="567" w:hanging="207"/>
        <w:contextualSpacing/>
        <w:rPr>
          <w:rFonts w:cs="Arial"/>
        </w:rPr>
      </w:pPr>
      <w:r w:rsidRPr="00B4774F">
        <w:rPr>
          <w:rFonts w:cs="Arial"/>
        </w:rPr>
        <w:t>A reduction in tax base has been forecast for 2021/22 due to early indicative inf</w:t>
      </w:r>
      <w:r>
        <w:rPr>
          <w:rFonts w:cs="Arial"/>
        </w:rPr>
        <w:t>ormation we have received from d</w:t>
      </w:r>
      <w:r w:rsidRPr="00B4774F">
        <w:rPr>
          <w:rFonts w:cs="Arial"/>
        </w:rPr>
        <w:t xml:space="preserve">istrict </w:t>
      </w:r>
      <w:r>
        <w:rPr>
          <w:rFonts w:cs="Arial"/>
        </w:rPr>
        <w:t>c</w:t>
      </w:r>
      <w:r w:rsidRPr="00B4774F">
        <w:rPr>
          <w:rFonts w:cs="Arial"/>
        </w:rPr>
        <w:t>ouncils. With</w:t>
      </w:r>
      <w:r>
        <w:rPr>
          <w:rFonts w:cs="Arial"/>
        </w:rPr>
        <w:t xml:space="preserve"> a</w:t>
      </w:r>
      <w:r w:rsidRPr="00B4774F">
        <w:rPr>
          <w:rFonts w:cs="Arial"/>
        </w:rPr>
        <w:t xml:space="preserve"> 1% </w:t>
      </w:r>
      <w:r>
        <w:rPr>
          <w:rFonts w:cs="Arial"/>
        </w:rPr>
        <w:t xml:space="preserve">increase </w:t>
      </w:r>
      <w:r w:rsidRPr="00B4774F">
        <w:rPr>
          <w:rFonts w:cs="Arial"/>
        </w:rPr>
        <w:t>included in 2</w:t>
      </w:r>
      <w:r>
        <w:rPr>
          <w:rFonts w:cs="Arial"/>
        </w:rPr>
        <w:t>022/23 and a return to pre-Covid</w:t>
      </w:r>
      <w:r w:rsidRPr="00B4774F">
        <w:rPr>
          <w:rFonts w:cs="Arial"/>
        </w:rPr>
        <w:t xml:space="preserve"> levels of</w:t>
      </w:r>
      <w:r w:rsidRPr="00B4774F">
        <w:rPr>
          <w:rFonts w:cs="Arial"/>
        </w:rPr>
        <w:t xml:space="preserve"> 1.7% per annum thereafter.</w:t>
      </w:r>
    </w:p>
    <w:p w:rsidR="0046463C" w:rsidRPr="00B4774F" w:rsidRDefault="00390D21" w:rsidP="0046463C">
      <w:pPr>
        <w:numPr>
          <w:ilvl w:val="0"/>
          <w:numId w:val="45"/>
        </w:numPr>
        <w:tabs>
          <w:tab w:val="left" w:pos="567"/>
          <w:tab w:val="left" w:pos="1134"/>
        </w:tabs>
        <w:spacing w:after="0"/>
        <w:ind w:left="567" w:hanging="207"/>
        <w:contextualSpacing/>
        <w:rPr>
          <w:rFonts w:cs="Arial"/>
        </w:rPr>
      </w:pPr>
      <w:r w:rsidRPr="00B4774F">
        <w:rPr>
          <w:rFonts w:cs="Arial"/>
        </w:rPr>
        <w:t xml:space="preserve">Council tax increases of 4.99% will be applied to 2021/22 to include the additional adult social care precept that is permitted. An increase of 1.99% is assumed in 2022/23 and 2023/24. </w:t>
      </w:r>
    </w:p>
    <w:p w:rsidR="0046463C" w:rsidRPr="00B4774F" w:rsidRDefault="00390D21" w:rsidP="0046463C">
      <w:pPr>
        <w:numPr>
          <w:ilvl w:val="0"/>
          <w:numId w:val="45"/>
        </w:numPr>
        <w:tabs>
          <w:tab w:val="left" w:pos="567"/>
          <w:tab w:val="left" w:pos="1134"/>
        </w:tabs>
        <w:spacing w:after="0"/>
        <w:ind w:left="567" w:hanging="207"/>
        <w:contextualSpacing/>
        <w:rPr>
          <w:rFonts w:cs="Arial"/>
        </w:rPr>
      </w:pPr>
      <w:r w:rsidRPr="00B4774F">
        <w:rPr>
          <w:rFonts w:cs="Arial"/>
        </w:rPr>
        <w:t xml:space="preserve">No growth or uplift on business rates has </w:t>
      </w:r>
      <w:r w:rsidRPr="00B4774F">
        <w:rPr>
          <w:rFonts w:cs="Arial"/>
        </w:rPr>
        <w:t>been built into 2021/22 with a return to growth of 0.5% per annum thereafter.</w:t>
      </w:r>
    </w:p>
    <w:p w:rsidR="0046463C" w:rsidRPr="00B4774F" w:rsidRDefault="00390D21" w:rsidP="0046463C">
      <w:pPr>
        <w:numPr>
          <w:ilvl w:val="0"/>
          <w:numId w:val="45"/>
        </w:numPr>
        <w:tabs>
          <w:tab w:val="left" w:pos="567"/>
          <w:tab w:val="left" w:pos="1134"/>
        </w:tabs>
        <w:spacing w:after="0"/>
        <w:ind w:left="567" w:hanging="207"/>
        <w:contextualSpacing/>
        <w:rPr>
          <w:rFonts w:cs="Arial"/>
        </w:rPr>
      </w:pPr>
      <w:r w:rsidRPr="00B4774F">
        <w:rPr>
          <w:rFonts w:cs="Arial"/>
        </w:rPr>
        <w:t>Revenue support grant will be rolled over for the duration of this strategy.</w:t>
      </w:r>
    </w:p>
    <w:p w:rsidR="0046463C" w:rsidRDefault="00390D21" w:rsidP="0046463C">
      <w:pPr>
        <w:numPr>
          <w:ilvl w:val="0"/>
          <w:numId w:val="45"/>
        </w:numPr>
        <w:tabs>
          <w:tab w:val="left" w:pos="567"/>
          <w:tab w:val="left" w:pos="1134"/>
        </w:tabs>
        <w:spacing w:after="0"/>
        <w:ind w:left="567" w:hanging="207"/>
        <w:contextualSpacing/>
        <w:rPr>
          <w:rFonts w:cs="Arial"/>
        </w:rPr>
      </w:pPr>
      <w:r w:rsidRPr="00B4774F">
        <w:rPr>
          <w:rFonts w:cs="Arial"/>
        </w:rPr>
        <w:t>Social care grant will be rolled over for the duration of this strategy, including additional grant a</w:t>
      </w:r>
      <w:r w:rsidRPr="00B4774F">
        <w:rPr>
          <w:rFonts w:cs="Arial"/>
        </w:rPr>
        <w:t xml:space="preserve">nnounced as part of SR20 and the provisional settlement. </w:t>
      </w:r>
    </w:p>
    <w:p w:rsidR="0046463C" w:rsidRPr="00B4774F" w:rsidRDefault="00390D21" w:rsidP="0046463C">
      <w:pPr>
        <w:numPr>
          <w:ilvl w:val="0"/>
          <w:numId w:val="45"/>
        </w:numPr>
        <w:tabs>
          <w:tab w:val="left" w:pos="567"/>
          <w:tab w:val="left" w:pos="1134"/>
        </w:tabs>
        <w:spacing w:after="0"/>
        <w:ind w:left="567" w:hanging="207"/>
        <w:contextualSpacing/>
        <w:rPr>
          <w:rFonts w:cs="Arial"/>
        </w:rPr>
      </w:pPr>
      <w:r>
        <w:rPr>
          <w:rFonts w:cs="Arial"/>
        </w:rPr>
        <w:t xml:space="preserve">Capital receipts increased to £4.000m for 2021/22 and assumed that the flexibility to use within the revenue budget is not extended into later years. </w:t>
      </w:r>
    </w:p>
    <w:p w:rsidR="0046463C" w:rsidRPr="000B7F3C" w:rsidRDefault="00390D21" w:rsidP="0046463C">
      <w:pPr>
        <w:spacing w:after="0"/>
        <w:rPr>
          <w:rFonts w:cs="Arial"/>
          <w:highlight w:val="yellow"/>
        </w:rPr>
      </w:pPr>
    </w:p>
    <w:p w:rsidR="0046463C" w:rsidRPr="001817FC" w:rsidRDefault="00390D21" w:rsidP="0046463C">
      <w:pPr>
        <w:spacing w:after="0"/>
        <w:rPr>
          <w:rFonts w:cs="Arial"/>
        </w:rPr>
      </w:pPr>
      <w:r w:rsidRPr="009776F4">
        <w:rPr>
          <w:rFonts w:cs="Arial"/>
        </w:rPr>
        <w:lastRenderedPageBreak/>
        <w:t>The table below reflects the updated funding p</w:t>
      </w:r>
      <w:r w:rsidRPr="009776F4">
        <w:rPr>
          <w:rFonts w:cs="Arial"/>
        </w:rPr>
        <w:t>osition.</w:t>
      </w:r>
      <w:r w:rsidRPr="001817FC">
        <w:rPr>
          <w:rFonts w:cs="Arial"/>
        </w:rPr>
        <w:t xml:space="preserve"> </w:t>
      </w:r>
    </w:p>
    <w:p w:rsidR="0046463C" w:rsidRPr="00E95F45" w:rsidRDefault="00390D21" w:rsidP="0046463C">
      <w:pPr>
        <w:spacing w:after="0"/>
        <w:rPr>
          <w:rFonts w:cs="Arial"/>
          <w:b/>
          <w:i/>
          <w:highlight w:val="yellow"/>
          <w:u w:val="single"/>
        </w:rPr>
      </w:pPr>
    </w:p>
    <w:p w:rsidR="0046463C" w:rsidRPr="000D62D7" w:rsidRDefault="00390D21" w:rsidP="0046463C">
      <w:pPr>
        <w:spacing w:after="0"/>
        <w:rPr>
          <w:rFonts w:cs="Arial"/>
          <w:b/>
          <w:i/>
          <w:u w:val="single"/>
        </w:rPr>
      </w:pPr>
      <w:r w:rsidRPr="000D62D7">
        <w:rPr>
          <w:rFonts w:cs="Arial"/>
          <w:b/>
          <w:i/>
          <w:u w:val="single"/>
        </w:rPr>
        <w:t>Table 2</w:t>
      </w:r>
    </w:p>
    <w:p w:rsidR="0046463C" w:rsidRPr="00E95F45" w:rsidRDefault="00390D21" w:rsidP="0046463C">
      <w:pPr>
        <w:spacing w:after="0"/>
        <w:rPr>
          <w:rFonts w:cs="Arial"/>
          <w:b/>
          <w:i/>
          <w:highlight w:val="yellow"/>
          <w:u w:val="single"/>
        </w:rPr>
      </w:pPr>
    </w:p>
    <w:tbl>
      <w:tblPr>
        <w:tblStyle w:val="TableGrid201"/>
        <w:tblW w:w="8832" w:type="dxa"/>
        <w:jc w:val="center"/>
        <w:tblLook w:val="04A0" w:firstRow="1" w:lastRow="0" w:firstColumn="1" w:lastColumn="0" w:noHBand="0" w:noVBand="1"/>
      </w:tblPr>
      <w:tblGrid>
        <w:gridCol w:w="3828"/>
        <w:gridCol w:w="1696"/>
        <w:gridCol w:w="1654"/>
        <w:gridCol w:w="1654"/>
      </w:tblGrid>
      <w:tr w:rsidR="00C3717D" w:rsidTr="0046463C">
        <w:trPr>
          <w:trHeight w:val="593"/>
          <w:jc w:val="center"/>
        </w:trPr>
        <w:tc>
          <w:tcPr>
            <w:tcW w:w="3828" w:type="dxa"/>
            <w:shd w:val="clear" w:color="auto" w:fill="BFBFBF" w:themeFill="background1" w:themeFillShade="BF"/>
            <w:vAlign w:val="center"/>
          </w:tcPr>
          <w:p w:rsidR="0046463C" w:rsidRPr="00E95F45" w:rsidRDefault="00390D21" w:rsidP="0046463C">
            <w:pPr>
              <w:rPr>
                <w:rFonts w:eastAsiaTheme="minorHAnsi" w:cs="Arial"/>
                <w:highlight w:val="yellow"/>
              </w:rPr>
            </w:pPr>
          </w:p>
        </w:tc>
        <w:tc>
          <w:tcPr>
            <w:tcW w:w="1696" w:type="dxa"/>
            <w:shd w:val="clear" w:color="auto" w:fill="BFBFBF" w:themeFill="background1" w:themeFillShade="BF"/>
            <w:vAlign w:val="center"/>
          </w:tcPr>
          <w:p w:rsidR="0046463C" w:rsidRPr="000D62D7" w:rsidRDefault="00390D21" w:rsidP="0046463C">
            <w:pPr>
              <w:spacing w:after="0"/>
              <w:jc w:val="center"/>
              <w:rPr>
                <w:rFonts w:eastAsiaTheme="minorHAnsi" w:cs="Arial"/>
                <w:b/>
              </w:rPr>
            </w:pPr>
            <w:r w:rsidRPr="000D62D7">
              <w:rPr>
                <w:rFonts w:eastAsiaTheme="minorHAnsi" w:cs="Arial"/>
                <w:b/>
              </w:rPr>
              <w:t>2021/22</w:t>
            </w:r>
          </w:p>
          <w:p w:rsidR="0046463C" w:rsidRPr="000D62D7" w:rsidRDefault="00390D21" w:rsidP="0046463C">
            <w:pPr>
              <w:spacing w:after="0"/>
              <w:jc w:val="center"/>
              <w:rPr>
                <w:rFonts w:eastAsiaTheme="minorHAnsi" w:cs="Arial"/>
                <w:b/>
              </w:rPr>
            </w:pPr>
            <w:r w:rsidRPr="000D62D7">
              <w:rPr>
                <w:rFonts w:eastAsiaTheme="minorHAnsi" w:cs="Arial"/>
                <w:b/>
              </w:rPr>
              <w:t>£m</w:t>
            </w:r>
          </w:p>
        </w:tc>
        <w:tc>
          <w:tcPr>
            <w:tcW w:w="1654" w:type="dxa"/>
            <w:shd w:val="clear" w:color="auto" w:fill="BFBFBF" w:themeFill="background1" w:themeFillShade="BF"/>
            <w:vAlign w:val="center"/>
          </w:tcPr>
          <w:p w:rsidR="0046463C" w:rsidRPr="000D62D7" w:rsidRDefault="00390D21" w:rsidP="0046463C">
            <w:pPr>
              <w:spacing w:after="0"/>
              <w:jc w:val="center"/>
              <w:rPr>
                <w:rFonts w:eastAsiaTheme="minorHAnsi" w:cs="Arial"/>
                <w:b/>
              </w:rPr>
            </w:pPr>
            <w:r w:rsidRPr="000D62D7">
              <w:rPr>
                <w:rFonts w:eastAsiaTheme="minorHAnsi" w:cs="Arial"/>
                <w:b/>
              </w:rPr>
              <w:t>2022/23</w:t>
            </w:r>
          </w:p>
          <w:p w:rsidR="0046463C" w:rsidRPr="000D62D7" w:rsidRDefault="00390D21" w:rsidP="0046463C">
            <w:pPr>
              <w:spacing w:after="0"/>
              <w:jc w:val="center"/>
              <w:rPr>
                <w:rFonts w:eastAsiaTheme="minorHAnsi" w:cs="Arial"/>
                <w:b/>
              </w:rPr>
            </w:pPr>
            <w:r w:rsidRPr="000D62D7">
              <w:rPr>
                <w:rFonts w:eastAsiaTheme="minorHAnsi" w:cs="Arial"/>
                <w:b/>
              </w:rPr>
              <w:t>£m</w:t>
            </w:r>
          </w:p>
        </w:tc>
        <w:tc>
          <w:tcPr>
            <w:tcW w:w="1654" w:type="dxa"/>
            <w:shd w:val="clear" w:color="auto" w:fill="BFBFBF" w:themeFill="background1" w:themeFillShade="BF"/>
            <w:vAlign w:val="center"/>
          </w:tcPr>
          <w:p w:rsidR="0046463C" w:rsidRPr="000D62D7" w:rsidRDefault="00390D21" w:rsidP="0046463C">
            <w:pPr>
              <w:spacing w:after="0"/>
              <w:jc w:val="center"/>
              <w:rPr>
                <w:rFonts w:eastAsiaTheme="minorHAnsi" w:cs="Arial"/>
                <w:b/>
              </w:rPr>
            </w:pPr>
            <w:r w:rsidRPr="000D62D7">
              <w:rPr>
                <w:rFonts w:eastAsiaTheme="minorHAnsi" w:cs="Arial"/>
                <w:b/>
              </w:rPr>
              <w:t>2023/24</w:t>
            </w:r>
          </w:p>
          <w:p w:rsidR="0046463C" w:rsidRPr="000D62D7" w:rsidRDefault="00390D21" w:rsidP="0046463C">
            <w:pPr>
              <w:spacing w:after="0"/>
              <w:jc w:val="center"/>
              <w:rPr>
                <w:rFonts w:eastAsiaTheme="minorHAnsi" w:cs="Arial"/>
                <w:b/>
              </w:rPr>
            </w:pPr>
            <w:r w:rsidRPr="000D62D7">
              <w:rPr>
                <w:rFonts w:eastAsiaTheme="minorHAnsi" w:cs="Arial"/>
                <w:b/>
              </w:rPr>
              <w:t>£m</w:t>
            </w:r>
          </w:p>
        </w:tc>
      </w:tr>
      <w:tr w:rsidR="00C3717D" w:rsidTr="0046463C">
        <w:trPr>
          <w:trHeight w:val="526"/>
          <w:jc w:val="center"/>
        </w:trPr>
        <w:tc>
          <w:tcPr>
            <w:tcW w:w="3828" w:type="dxa"/>
            <w:vAlign w:val="bottom"/>
          </w:tcPr>
          <w:p w:rsidR="0046463C" w:rsidRPr="000D62D7" w:rsidRDefault="00390D21" w:rsidP="0046463C">
            <w:pPr>
              <w:rPr>
                <w:rFonts w:eastAsiaTheme="minorHAnsi" w:cs="Arial"/>
              </w:rPr>
            </w:pPr>
            <w:r w:rsidRPr="000D62D7">
              <w:rPr>
                <w:rFonts w:cs="Arial"/>
              </w:rPr>
              <w:t>Revenue Support Grant</w:t>
            </w:r>
          </w:p>
        </w:tc>
        <w:tc>
          <w:tcPr>
            <w:tcW w:w="1696" w:type="dxa"/>
            <w:tcBorders>
              <w:top w:val="nil"/>
              <w:left w:val="nil"/>
              <w:bottom w:val="single" w:sz="8" w:space="0" w:color="auto"/>
              <w:right w:val="single" w:sz="8" w:space="0" w:color="auto"/>
            </w:tcBorders>
            <w:shd w:val="clear" w:color="auto" w:fill="auto"/>
            <w:vAlign w:val="center"/>
          </w:tcPr>
          <w:p w:rsidR="0046463C" w:rsidRPr="000D62D7" w:rsidRDefault="00390D21" w:rsidP="0046463C">
            <w:pPr>
              <w:autoSpaceDE/>
              <w:autoSpaceDN/>
              <w:adjustRightInd/>
              <w:spacing w:after="0"/>
              <w:jc w:val="right"/>
              <w:rPr>
                <w:rFonts w:eastAsia="Times New Roman" w:cs="Arial"/>
                <w:lang w:eastAsia="en-GB"/>
              </w:rPr>
            </w:pPr>
            <w:r>
              <w:rPr>
                <w:rFonts w:cs="Arial"/>
              </w:rPr>
              <w:t>33.615</w:t>
            </w:r>
          </w:p>
        </w:tc>
        <w:tc>
          <w:tcPr>
            <w:tcW w:w="1654" w:type="dxa"/>
            <w:tcBorders>
              <w:top w:val="nil"/>
              <w:left w:val="nil"/>
              <w:bottom w:val="single" w:sz="8" w:space="0" w:color="auto"/>
              <w:right w:val="single" w:sz="8" w:space="0" w:color="auto"/>
            </w:tcBorders>
            <w:shd w:val="clear" w:color="auto" w:fill="auto"/>
            <w:vAlign w:val="center"/>
          </w:tcPr>
          <w:p w:rsidR="0046463C" w:rsidRPr="000D62D7" w:rsidRDefault="00390D21" w:rsidP="0046463C">
            <w:pPr>
              <w:spacing w:after="0"/>
              <w:jc w:val="right"/>
              <w:rPr>
                <w:rFonts w:cs="Arial"/>
              </w:rPr>
            </w:pPr>
            <w:r>
              <w:rPr>
                <w:rFonts w:cs="Arial"/>
              </w:rPr>
              <w:t>34.220</w:t>
            </w:r>
          </w:p>
        </w:tc>
        <w:tc>
          <w:tcPr>
            <w:tcW w:w="1654" w:type="dxa"/>
            <w:tcBorders>
              <w:top w:val="nil"/>
              <w:left w:val="nil"/>
              <w:bottom w:val="single" w:sz="8" w:space="0" w:color="auto"/>
              <w:right w:val="single" w:sz="8" w:space="0" w:color="auto"/>
            </w:tcBorders>
            <w:shd w:val="clear" w:color="auto" w:fill="auto"/>
            <w:vAlign w:val="center"/>
          </w:tcPr>
          <w:p w:rsidR="0046463C" w:rsidRPr="000D62D7" w:rsidRDefault="00390D21" w:rsidP="0046463C">
            <w:pPr>
              <w:spacing w:after="0"/>
              <w:jc w:val="right"/>
              <w:rPr>
                <w:rFonts w:cs="Arial"/>
              </w:rPr>
            </w:pPr>
            <w:r>
              <w:rPr>
                <w:rFonts w:cs="Arial"/>
              </w:rPr>
              <w:t>34.904</w:t>
            </w:r>
          </w:p>
        </w:tc>
      </w:tr>
      <w:tr w:rsidR="00C3717D" w:rsidTr="0046463C">
        <w:trPr>
          <w:trHeight w:val="526"/>
          <w:jc w:val="center"/>
        </w:trPr>
        <w:tc>
          <w:tcPr>
            <w:tcW w:w="3828" w:type="dxa"/>
            <w:vAlign w:val="bottom"/>
            <w:hideMark/>
          </w:tcPr>
          <w:p w:rsidR="0046463C" w:rsidRPr="000D62D7" w:rsidRDefault="00390D21" w:rsidP="0046463C">
            <w:pPr>
              <w:rPr>
                <w:rFonts w:eastAsiaTheme="minorHAnsi" w:cs="Arial"/>
                <w:color w:val="auto"/>
              </w:rPr>
            </w:pPr>
            <w:r w:rsidRPr="000D62D7">
              <w:rPr>
                <w:rFonts w:cs="Arial"/>
              </w:rPr>
              <w:t>Business Rates</w:t>
            </w:r>
          </w:p>
        </w:tc>
        <w:tc>
          <w:tcPr>
            <w:tcW w:w="1696" w:type="dxa"/>
            <w:tcBorders>
              <w:top w:val="nil"/>
              <w:left w:val="nil"/>
              <w:bottom w:val="single" w:sz="8" w:space="0" w:color="auto"/>
              <w:right w:val="single" w:sz="8" w:space="0" w:color="auto"/>
            </w:tcBorders>
            <w:shd w:val="clear" w:color="auto" w:fill="auto"/>
            <w:vAlign w:val="center"/>
          </w:tcPr>
          <w:p w:rsidR="0046463C" w:rsidRPr="000D62D7" w:rsidRDefault="00390D21" w:rsidP="0046463C">
            <w:pPr>
              <w:spacing w:after="0"/>
              <w:jc w:val="right"/>
              <w:rPr>
                <w:rFonts w:cs="Arial"/>
              </w:rPr>
            </w:pPr>
            <w:r>
              <w:rPr>
                <w:rFonts w:cs="Arial"/>
              </w:rPr>
              <w:t>201.997</w:t>
            </w:r>
          </w:p>
        </w:tc>
        <w:tc>
          <w:tcPr>
            <w:tcW w:w="1654" w:type="dxa"/>
            <w:tcBorders>
              <w:top w:val="nil"/>
              <w:left w:val="nil"/>
              <w:bottom w:val="single" w:sz="8" w:space="0" w:color="auto"/>
              <w:right w:val="single" w:sz="8" w:space="0" w:color="auto"/>
            </w:tcBorders>
            <w:shd w:val="clear" w:color="auto" w:fill="auto"/>
            <w:vAlign w:val="center"/>
          </w:tcPr>
          <w:p w:rsidR="0046463C" w:rsidRPr="000D62D7" w:rsidRDefault="00390D21" w:rsidP="0046463C">
            <w:pPr>
              <w:spacing w:after="0"/>
              <w:jc w:val="right"/>
              <w:rPr>
                <w:rFonts w:cs="Arial"/>
              </w:rPr>
            </w:pPr>
            <w:r>
              <w:rPr>
                <w:rFonts w:cs="Arial"/>
              </w:rPr>
              <w:t>204.773</w:t>
            </w:r>
          </w:p>
        </w:tc>
        <w:tc>
          <w:tcPr>
            <w:tcW w:w="1654" w:type="dxa"/>
            <w:tcBorders>
              <w:top w:val="nil"/>
              <w:left w:val="nil"/>
              <w:bottom w:val="single" w:sz="8" w:space="0" w:color="auto"/>
              <w:right w:val="single" w:sz="8" w:space="0" w:color="auto"/>
            </w:tcBorders>
            <w:shd w:val="clear" w:color="auto" w:fill="auto"/>
            <w:vAlign w:val="center"/>
          </w:tcPr>
          <w:p w:rsidR="0046463C" w:rsidRPr="000D62D7" w:rsidRDefault="00390D21" w:rsidP="0046463C">
            <w:pPr>
              <w:spacing w:after="0"/>
              <w:jc w:val="right"/>
              <w:rPr>
                <w:rFonts w:cs="Arial"/>
              </w:rPr>
            </w:pPr>
            <w:r>
              <w:rPr>
                <w:rFonts w:cs="Arial"/>
              </w:rPr>
              <w:t>208.631</w:t>
            </w:r>
          </w:p>
        </w:tc>
      </w:tr>
      <w:tr w:rsidR="00C3717D" w:rsidTr="0046463C">
        <w:trPr>
          <w:trHeight w:val="526"/>
          <w:jc w:val="center"/>
        </w:trPr>
        <w:tc>
          <w:tcPr>
            <w:tcW w:w="3828" w:type="dxa"/>
            <w:vAlign w:val="bottom"/>
            <w:hideMark/>
          </w:tcPr>
          <w:p w:rsidR="0046463C" w:rsidRPr="000D62D7" w:rsidRDefault="00390D21" w:rsidP="0046463C">
            <w:pPr>
              <w:rPr>
                <w:rFonts w:eastAsiaTheme="minorHAnsi" w:cs="Arial"/>
                <w:color w:val="auto"/>
              </w:rPr>
            </w:pPr>
            <w:r w:rsidRPr="000D62D7">
              <w:rPr>
                <w:rFonts w:cs="Arial"/>
              </w:rPr>
              <w:t>Council Tax</w:t>
            </w:r>
          </w:p>
        </w:tc>
        <w:tc>
          <w:tcPr>
            <w:tcW w:w="1696" w:type="dxa"/>
            <w:tcBorders>
              <w:top w:val="nil"/>
              <w:left w:val="nil"/>
              <w:bottom w:val="single" w:sz="8" w:space="0" w:color="auto"/>
              <w:right w:val="nil"/>
            </w:tcBorders>
            <w:shd w:val="clear" w:color="auto" w:fill="auto"/>
            <w:vAlign w:val="center"/>
          </w:tcPr>
          <w:p w:rsidR="0046463C" w:rsidRPr="000D62D7" w:rsidRDefault="00390D21" w:rsidP="0046463C">
            <w:pPr>
              <w:spacing w:after="0"/>
              <w:jc w:val="right"/>
              <w:rPr>
                <w:rFonts w:cs="Arial"/>
              </w:rPr>
            </w:pPr>
            <w:r>
              <w:rPr>
                <w:rFonts w:cs="Arial"/>
              </w:rPr>
              <w:t>540.122</w:t>
            </w:r>
          </w:p>
        </w:tc>
        <w:tc>
          <w:tcPr>
            <w:tcW w:w="1654" w:type="dxa"/>
            <w:tcBorders>
              <w:top w:val="nil"/>
              <w:left w:val="single" w:sz="8" w:space="0" w:color="auto"/>
              <w:bottom w:val="single" w:sz="8" w:space="0" w:color="auto"/>
              <w:right w:val="single" w:sz="8" w:space="0" w:color="auto"/>
            </w:tcBorders>
            <w:shd w:val="clear" w:color="auto" w:fill="auto"/>
            <w:vAlign w:val="center"/>
          </w:tcPr>
          <w:p w:rsidR="0046463C" w:rsidRPr="000D62D7" w:rsidRDefault="00390D21" w:rsidP="0046463C">
            <w:pPr>
              <w:spacing w:after="0"/>
              <w:jc w:val="right"/>
              <w:rPr>
                <w:rFonts w:cs="Arial"/>
              </w:rPr>
            </w:pPr>
            <w:r>
              <w:rPr>
                <w:rFonts w:cs="Arial"/>
              </w:rPr>
              <w:t>556.380</w:t>
            </w:r>
          </w:p>
        </w:tc>
        <w:tc>
          <w:tcPr>
            <w:tcW w:w="1654" w:type="dxa"/>
            <w:tcBorders>
              <w:top w:val="nil"/>
              <w:left w:val="nil"/>
              <w:bottom w:val="single" w:sz="8" w:space="0" w:color="auto"/>
              <w:right w:val="single" w:sz="8" w:space="0" w:color="auto"/>
            </w:tcBorders>
            <w:shd w:val="clear" w:color="auto" w:fill="auto"/>
            <w:vAlign w:val="center"/>
          </w:tcPr>
          <w:p w:rsidR="0046463C" w:rsidRPr="000D62D7" w:rsidRDefault="00390D21" w:rsidP="0046463C">
            <w:pPr>
              <w:spacing w:after="0"/>
              <w:jc w:val="right"/>
              <w:rPr>
                <w:rFonts w:cs="Arial"/>
              </w:rPr>
            </w:pPr>
            <w:r>
              <w:rPr>
                <w:rFonts w:cs="Arial"/>
              </w:rPr>
              <w:t>577.0</w:t>
            </w:r>
            <w:r>
              <w:rPr>
                <w:rFonts w:cs="Arial"/>
              </w:rPr>
              <w:t>9</w:t>
            </w:r>
            <w:r>
              <w:rPr>
                <w:rFonts w:cs="Arial"/>
              </w:rPr>
              <w:t>8</w:t>
            </w:r>
          </w:p>
        </w:tc>
      </w:tr>
      <w:tr w:rsidR="00C3717D" w:rsidTr="0046463C">
        <w:trPr>
          <w:trHeight w:val="526"/>
          <w:jc w:val="center"/>
        </w:trPr>
        <w:tc>
          <w:tcPr>
            <w:tcW w:w="3828" w:type="dxa"/>
            <w:vAlign w:val="bottom"/>
          </w:tcPr>
          <w:p w:rsidR="0046463C" w:rsidRPr="000D62D7" w:rsidRDefault="00390D21" w:rsidP="0046463C">
            <w:pPr>
              <w:rPr>
                <w:rFonts w:eastAsiaTheme="minorHAnsi" w:cs="Arial"/>
                <w:color w:val="auto"/>
              </w:rPr>
            </w:pPr>
            <w:r w:rsidRPr="000D62D7">
              <w:rPr>
                <w:rFonts w:cs="Arial"/>
              </w:rPr>
              <w:t>New Homes Bonus</w:t>
            </w:r>
          </w:p>
        </w:tc>
        <w:tc>
          <w:tcPr>
            <w:tcW w:w="1696" w:type="dxa"/>
            <w:tcBorders>
              <w:top w:val="nil"/>
              <w:left w:val="nil"/>
              <w:bottom w:val="single" w:sz="8" w:space="0" w:color="auto"/>
              <w:right w:val="nil"/>
            </w:tcBorders>
            <w:shd w:val="clear" w:color="auto" w:fill="auto"/>
            <w:vAlign w:val="center"/>
          </w:tcPr>
          <w:p w:rsidR="0046463C" w:rsidRPr="000D62D7" w:rsidRDefault="00390D21" w:rsidP="0046463C">
            <w:pPr>
              <w:spacing w:after="0"/>
              <w:jc w:val="right"/>
              <w:rPr>
                <w:rFonts w:cs="Arial"/>
              </w:rPr>
            </w:pPr>
            <w:r>
              <w:rPr>
                <w:rFonts w:cs="Arial"/>
              </w:rPr>
              <w:t>2.416</w:t>
            </w:r>
          </w:p>
        </w:tc>
        <w:tc>
          <w:tcPr>
            <w:tcW w:w="1654" w:type="dxa"/>
            <w:tcBorders>
              <w:top w:val="nil"/>
              <w:left w:val="single" w:sz="8" w:space="0" w:color="auto"/>
              <w:bottom w:val="single" w:sz="8" w:space="0" w:color="auto"/>
              <w:right w:val="single" w:sz="8" w:space="0" w:color="auto"/>
            </w:tcBorders>
            <w:shd w:val="clear" w:color="auto" w:fill="auto"/>
            <w:vAlign w:val="center"/>
          </w:tcPr>
          <w:p w:rsidR="0046463C" w:rsidRPr="000D62D7" w:rsidRDefault="00390D21" w:rsidP="0046463C">
            <w:pPr>
              <w:spacing w:after="0"/>
              <w:jc w:val="right"/>
              <w:rPr>
                <w:rFonts w:cs="Arial"/>
              </w:rPr>
            </w:pPr>
            <w:r>
              <w:rPr>
                <w:rFonts w:cs="Arial"/>
              </w:rPr>
              <w:t>1.635</w:t>
            </w:r>
          </w:p>
        </w:tc>
        <w:tc>
          <w:tcPr>
            <w:tcW w:w="1654" w:type="dxa"/>
            <w:tcBorders>
              <w:top w:val="nil"/>
              <w:left w:val="nil"/>
              <w:bottom w:val="single" w:sz="8" w:space="0" w:color="auto"/>
              <w:right w:val="single" w:sz="8" w:space="0" w:color="auto"/>
            </w:tcBorders>
            <w:shd w:val="clear" w:color="auto" w:fill="auto"/>
            <w:vAlign w:val="center"/>
          </w:tcPr>
          <w:p w:rsidR="0046463C" w:rsidRPr="000D62D7" w:rsidRDefault="00390D21" w:rsidP="0046463C">
            <w:pPr>
              <w:spacing w:after="0"/>
              <w:jc w:val="right"/>
              <w:rPr>
                <w:rFonts w:cs="Arial"/>
              </w:rPr>
            </w:pPr>
            <w:r>
              <w:rPr>
                <w:rFonts w:cs="Arial"/>
              </w:rPr>
              <w:t>0.799</w:t>
            </w:r>
          </w:p>
        </w:tc>
      </w:tr>
      <w:tr w:rsidR="00C3717D" w:rsidTr="0046463C">
        <w:trPr>
          <w:trHeight w:val="526"/>
          <w:jc w:val="center"/>
        </w:trPr>
        <w:tc>
          <w:tcPr>
            <w:tcW w:w="3828" w:type="dxa"/>
            <w:vAlign w:val="bottom"/>
            <w:hideMark/>
          </w:tcPr>
          <w:p w:rsidR="0046463C" w:rsidRPr="000D62D7" w:rsidRDefault="00390D21" w:rsidP="0046463C">
            <w:pPr>
              <w:jc w:val="left"/>
              <w:rPr>
                <w:rFonts w:eastAsiaTheme="minorHAnsi" w:cs="Arial"/>
                <w:color w:val="auto"/>
              </w:rPr>
            </w:pPr>
            <w:r>
              <w:rPr>
                <w:rFonts w:cs="Arial"/>
              </w:rPr>
              <w:t xml:space="preserve">Improved </w:t>
            </w:r>
            <w:r w:rsidRPr="000D62D7">
              <w:rPr>
                <w:rFonts w:cs="Arial"/>
              </w:rPr>
              <w:t>Better Care Fund</w:t>
            </w:r>
          </w:p>
        </w:tc>
        <w:tc>
          <w:tcPr>
            <w:tcW w:w="1696" w:type="dxa"/>
            <w:tcBorders>
              <w:top w:val="nil"/>
              <w:left w:val="nil"/>
              <w:bottom w:val="single" w:sz="8" w:space="0" w:color="auto"/>
              <w:right w:val="nil"/>
            </w:tcBorders>
            <w:shd w:val="clear" w:color="auto" w:fill="auto"/>
            <w:vAlign w:val="center"/>
          </w:tcPr>
          <w:p w:rsidR="0046463C" w:rsidRPr="000D62D7" w:rsidRDefault="00390D21" w:rsidP="0046463C">
            <w:pPr>
              <w:spacing w:after="0"/>
              <w:jc w:val="right"/>
              <w:rPr>
                <w:rFonts w:cs="Arial"/>
              </w:rPr>
            </w:pPr>
            <w:r w:rsidRPr="000D62D7">
              <w:rPr>
                <w:rFonts w:cs="Arial"/>
              </w:rPr>
              <w:t>45.532</w:t>
            </w:r>
          </w:p>
        </w:tc>
        <w:tc>
          <w:tcPr>
            <w:tcW w:w="1654" w:type="dxa"/>
            <w:tcBorders>
              <w:top w:val="nil"/>
              <w:left w:val="single" w:sz="8" w:space="0" w:color="auto"/>
              <w:bottom w:val="single" w:sz="8" w:space="0" w:color="auto"/>
              <w:right w:val="single" w:sz="8" w:space="0" w:color="auto"/>
            </w:tcBorders>
            <w:shd w:val="clear" w:color="auto" w:fill="auto"/>
            <w:vAlign w:val="center"/>
          </w:tcPr>
          <w:p w:rsidR="0046463C" w:rsidRPr="000D62D7" w:rsidRDefault="00390D21" w:rsidP="0046463C">
            <w:pPr>
              <w:spacing w:after="0"/>
              <w:jc w:val="right"/>
              <w:rPr>
                <w:rFonts w:cs="Arial"/>
              </w:rPr>
            </w:pPr>
            <w:r w:rsidRPr="000D62D7">
              <w:rPr>
                <w:rFonts w:cs="Arial"/>
              </w:rPr>
              <w:t>45.532</w:t>
            </w:r>
          </w:p>
        </w:tc>
        <w:tc>
          <w:tcPr>
            <w:tcW w:w="1654" w:type="dxa"/>
            <w:tcBorders>
              <w:top w:val="nil"/>
              <w:left w:val="nil"/>
              <w:bottom w:val="single" w:sz="8" w:space="0" w:color="auto"/>
              <w:right w:val="single" w:sz="8" w:space="0" w:color="auto"/>
            </w:tcBorders>
            <w:shd w:val="clear" w:color="auto" w:fill="auto"/>
            <w:vAlign w:val="center"/>
          </w:tcPr>
          <w:p w:rsidR="0046463C" w:rsidRPr="000D62D7" w:rsidRDefault="00390D21" w:rsidP="0046463C">
            <w:pPr>
              <w:spacing w:after="0"/>
              <w:jc w:val="right"/>
              <w:rPr>
                <w:rFonts w:cs="Arial"/>
              </w:rPr>
            </w:pPr>
            <w:r w:rsidRPr="000D62D7">
              <w:rPr>
                <w:rFonts w:cs="Arial"/>
              </w:rPr>
              <w:t>45.532</w:t>
            </w:r>
          </w:p>
        </w:tc>
      </w:tr>
      <w:tr w:rsidR="00C3717D" w:rsidTr="0046463C">
        <w:trPr>
          <w:trHeight w:val="526"/>
          <w:jc w:val="center"/>
        </w:trPr>
        <w:tc>
          <w:tcPr>
            <w:tcW w:w="3828" w:type="dxa"/>
            <w:vAlign w:val="bottom"/>
          </w:tcPr>
          <w:p w:rsidR="0046463C" w:rsidRPr="000D62D7" w:rsidRDefault="00390D21" w:rsidP="0046463C">
            <w:pPr>
              <w:rPr>
                <w:rFonts w:eastAsiaTheme="minorHAnsi" w:cs="Arial"/>
                <w:color w:val="auto"/>
              </w:rPr>
            </w:pPr>
            <w:r w:rsidRPr="000D62D7">
              <w:rPr>
                <w:rFonts w:cs="Arial"/>
              </w:rPr>
              <w:t>Social Care Support Grant</w:t>
            </w:r>
          </w:p>
        </w:tc>
        <w:tc>
          <w:tcPr>
            <w:tcW w:w="1696" w:type="dxa"/>
            <w:tcBorders>
              <w:top w:val="nil"/>
              <w:left w:val="nil"/>
              <w:bottom w:val="single" w:sz="8" w:space="0" w:color="auto"/>
              <w:right w:val="single" w:sz="8" w:space="0" w:color="auto"/>
            </w:tcBorders>
            <w:shd w:val="clear" w:color="auto" w:fill="auto"/>
            <w:vAlign w:val="center"/>
          </w:tcPr>
          <w:p w:rsidR="0046463C" w:rsidRPr="000D62D7" w:rsidRDefault="00390D21" w:rsidP="0046463C">
            <w:pPr>
              <w:spacing w:after="0"/>
              <w:jc w:val="right"/>
              <w:rPr>
                <w:rFonts w:cs="Arial"/>
              </w:rPr>
            </w:pPr>
            <w:r>
              <w:rPr>
                <w:rFonts w:cs="Arial"/>
              </w:rPr>
              <w:t>41.943</w:t>
            </w:r>
          </w:p>
        </w:tc>
        <w:tc>
          <w:tcPr>
            <w:tcW w:w="1654" w:type="dxa"/>
            <w:tcBorders>
              <w:top w:val="nil"/>
              <w:left w:val="nil"/>
              <w:bottom w:val="single" w:sz="8" w:space="0" w:color="auto"/>
              <w:right w:val="single" w:sz="8" w:space="0" w:color="auto"/>
            </w:tcBorders>
            <w:shd w:val="clear" w:color="auto" w:fill="auto"/>
            <w:vAlign w:val="center"/>
          </w:tcPr>
          <w:p w:rsidR="0046463C" w:rsidRPr="000D62D7" w:rsidRDefault="00390D21" w:rsidP="0046463C">
            <w:pPr>
              <w:spacing w:after="0"/>
              <w:jc w:val="right"/>
              <w:rPr>
                <w:rFonts w:cs="Arial"/>
              </w:rPr>
            </w:pPr>
            <w:r>
              <w:rPr>
                <w:rFonts w:cs="Arial"/>
              </w:rPr>
              <w:t>41.943</w:t>
            </w:r>
          </w:p>
        </w:tc>
        <w:tc>
          <w:tcPr>
            <w:tcW w:w="1654" w:type="dxa"/>
            <w:tcBorders>
              <w:top w:val="nil"/>
              <w:left w:val="nil"/>
              <w:bottom w:val="single" w:sz="8" w:space="0" w:color="auto"/>
              <w:right w:val="single" w:sz="8" w:space="0" w:color="auto"/>
            </w:tcBorders>
            <w:shd w:val="clear" w:color="auto" w:fill="auto"/>
            <w:vAlign w:val="center"/>
          </w:tcPr>
          <w:p w:rsidR="0046463C" w:rsidRPr="000D62D7" w:rsidRDefault="00390D21" w:rsidP="0046463C">
            <w:pPr>
              <w:spacing w:after="0"/>
              <w:jc w:val="right"/>
              <w:rPr>
                <w:rFonts w:cs="Arial"/>
              </w:rPr>
            </w:pPr>
            <w:r>
              <w:rPr>
                <w:rFonts w:cs="Arial"/>
              </w:rPr>
              <w:t>41.943</w:t>
            </w:r>
          </w:p>
        </w:tc>
      </w:tr>
      <w:tr w:rsidR="00C3717D" w:rsidTr="0046463C">
        <w:trPr>
          <w:trHeight w:val="526"/>
          <w:jc w:val="center"/>
        </w:trPr>
        <w:tc>
          <w:tcPr>
            <w:tcW w:w="3828" w:type="dxa"/>
            <w:tcBorders>
              <w:bottom w:val="single" w:sz="4" w:space="0" w:color="auto"/>
            </w:tcBorders>
            <w:vAlign w:val="bottom"/>
            <w:hideMark/>
          </w:tcPr>
          <w:p w:rsidR="0046463C" w:rsidRPr="000D62D7" w:rsidRDefault="00390D21" w:rsidP="0046463C">
            <w:pPr>
              <w:rPr>
                <w:rFonts w:eastAsiaTheme="minorHAnsi" w:cs="Arial"/>
                <w:color w:val="auto"/>
              </w:rPr>
            </w:pPr>
            <w:r w:rsidRPr="000D62D7">
              <w:rPr>
                <w:rFonts w:cs="Arial"/>
              </w:rPr>
              <w:t>Collection Fund</w:t>
            </w:r>
          </w:p>
        </w:tc>
        <w:tc>
          <w:tcPr>
            <w:tcW w:w="1696" w:type="dxa"/>
            <w:tcBorders>
              <w:top w:val="nil"/>
              <w:left w:val="nil"/>
              <w:bottom w:val="single" w:sz="4" w:space="0" w:color="auto"/>
              <w:right w:val="nil"/>
            </w:tcBorders>
            <w:shd w:val="clear" w:color="auto" w:fill="auto"/>
            <w:vAlign w:val="center"/>
          </w:tcPr>
          <w:p w:rsidR="0046463C" w:rsidRPr="000D62D7" w:rsidRDefault="00390D21" w:rsidP="0046463C">
            <w:pPr>
              <w:spacing w:after="0"/>
              <w:jc w:val="right"/>
              <w:rPr>
                <w:rFonts w:cs="Arial"/>
              </w:rPr>
            </w:pPr>
            <w:r>
              <w:rPr>
                <w:rFonts w:cs="Arial"/>
              </w:rPr>
              <w:t>-1.728</w:t>
            </w:r>
          </w:p>
        </w:tc>
        <w:tc>
          <w:tcPr>
            <w:tcW w:w="1654" w:type="dxa"/>
            <w:tcBorders>
              <w:top w:val="nil"/>
              <w:left w:val="single" w:sz="8" w:space="0" w:color="auto"/>
              <w:bottom w:val="single" w:sz="4" w:space="0" w:color="auto"/>
              <w:right w:val="single" w:sz="8" w:space="0" w:color="auto"/>
            </w:tcBorders>
            <w:shd w:val="clear" w:color="auto" w:fill="auto"/>
            <w:vAlign w:val="center"/>
          </w:tcPr>
          <w:p w:rsidR="0046463C" w:rsidRPr="000D62D7" w:rsidRDefault="00390D21" w:rsidP="0046463C">
            <w:pPr>
              <w:spacing w:after="0"/>
              <w:jc w:val="right"/>
              <w:rPr>
                <w:rFonts w:cs="Arial"/>
              </w:rPr>
            </w:pPr>
            <w:r>
              <w:rPr>
                <w:rFonts w:cs="Arial"/>
              </w:rPr>
              <w:t>-1.728</w:t>
            </w:r>
          </w:p>
        </w:tc>
        <w:tc>
          <w:tcPr>
            <w:tcW w:w="1654" w:type="dxa"/>
            <w:tcBorders>
              <w:top w:val="nil"/>
              <w:left w:val="nil"/>
              <w:bottom w:val="single" w:sz="4" w:space="0" w:color="auto"/>
              <w:right w:val="single" w:sz="8" w:space="0" w:color="auto"/>
            </w:tcBorders>
            <w:shd w:val="clear" w:color="auto" w:fill="auto"/>
            <w:vAlign w:val="center"/>
          </w:tcPr>
          <w:p w:rsidR="0046463C" w:rsidRPr="000D62D7" w:rsidRDefault="00390D21" w:rsidP="0046463C">
            <w:pPr>
              <w:spacing w:after="0"/>
              <w:jc w:val="right"/>
              <w:rPr>
                <w:rFonts w:cs="Arial"/>
              </w:rPr>
            </w:pPr>
            <w:r>
              <w:rPr>
                <w:rFonts w:cs="Arial"/>
              </w:rPr>
              <w:t>-1.728</w:t>
            </w:r>
          </w:p>
        </w:tc>
      </w:tr>
      <w:tr w:rsidR="00C3717D" w:rsidTr="0046463C">
        <w:trPr>
          <w:trHeight w:val="526"/>
          <w:jc w:val="center"/>
        </w:trPr>
        <w:tc>
          <w:tcPr>
            <w:tcW w:w="3828" w:type="dxa"/>
            <w:tcBorders>
              <w:top w:val="single" w:sz="4" w:space="0" w:color="auto"/>
            </w:tcBorders>
            <w:vAlign w:val="bottom"/>
          </w:tcPr>
          <w:p w:rsidR="0046463C" w:rsidRPr="000D62D7" w:rsidRDefault="00390D21" w:rsidP="0046463C">
            <w:pPr>
              <w:rPr>
                <w:rFonts w:cs="Arial"/>
              </w:rPr>
            </w:pPr>
            <w:r w:rsidRPr="000D62D7">
              <w:rPr>
                <w:rFonts w:cs="Arial"/>
              </w:rPr>
              <w:t>Capital Receipts</w:t>
            </w:r>
          </w:p>
        </w:tc>
        <w:tc>
          <w:tcPr>
            <w:tcW w:w="1696" w:type="dxa"/>
            <w:tcBorders>
              <w:top w:val="single" w:sz="4" w:space="0" w:color="auto"/>
              <w:left w:val="nil"/>
              <w:bottom w:val="nil"/>
              <w:right w:val="nil"/>
            </w:tcBorders>
            <w:shd w:val="clear" w:color="auto" w:fill="auto"/>
            <w:vAlign w:val="center"/>
          </w:tcPr>
          <w:p w:rsidR="0046463C" w:rsidRPr="000D62D7" w:rsidRDefault="00390D21" w:rsidP="0046463C">
            <w:pPr>
              <w:spacing w:after="0"/>
              <w:jc w:val="right"/>
              <w:rPr>
                <w:rFonts w:cs="Arial"/>
              </w:rPr>
            </w:pPr>
            <w:r>
              <w:rPr>
                <w:rFonts w:cs="Arial"/>
              </w:rPr>
              <w:t>4.000</w:t>
            </w:r>
          </w:p>
        </w:tc>
        <w:tc>
          <w:tcPr>
            <w:tcW w:w="1654" w:type="dxa"/>
            <w:tcBorders>
              <w:top w:val="single" w:sz="4" w:space="0" w:color="auto"/>
              <w:left w:val="single" w:sz="8" w:space="0" w:color="auto"/>
              <w:bottom w:val="nil"/>
              <w:right w:val="single" w:sz="8" w:space="0" w:color="auto"/>
            </w:tcBorders>
            <w:shd w:val="clear" w:color="auto" w:fill="auto"/>
            <w:vAlign w:val="center"/>
          </w:tcPr>
          <w:p w:rsidR="0046463C" w:rsidRPr="000D62D7" w:rsidRDefault="00390D21" w:rsidP="0046463C">
            <w:pPr>
              <w:spacing w:after="0"/>
              <w:jc w:val="right"/>
              <w:rPr>
                <w:rFonts w:cs="Arial"/>
              </w:rPr>
            </w:pPr>
            <w:r w:rsidRPr="000D62D7">
              <w:rPr>
                <w:rFonts w:cs="Arial"/>
              </w:rPr>
              <w:t>0.000</w:t>
            </w:r>
          </w:p>
        </w:tc>
        <w:tc>
          <w:tcPr>
            <w:tcW w:w="1654" w:type="dxa"/>
            <w:tcBorders>
              <w:top w:val="single" w:sz="4" w:space="0" w:color="auto"/>
              <w:left w:val="nil"/>
              <w:bottom w:val="nil"/>
              <w:right w:val="single" w:sz="8" w:space="0" w:color="auto"/>
            </w:tcBorders>
            <w:shd w:val="clear" w:color="auto" w:fill="auto"/>
            <w:vAlign w:val="center"/>
          </w:tcPr>
          <w:p w:rsidR="0046463C" w:rsidRPr="000D62D7" w:rsidRDefault="00390D21" w:rsidP="0046463C">
            <w:pPr>
              <w:spacing w:after="0"/>
              <w:jc w:val="right"/>
              <w:rPr>
                <w:rFonts w:cs="Arial"/>
              </w:rPr>
            </w:pPr>
            <w:r w:rsidRPr="000D62D7">
              <w:rPr>
                <w:rFonts w:cs="Arial"/>
              </w:rPr>
              <w:t>0.000</w:t>
            </w:r>
          </w:p>
        </w:tc>
      </w:tr>
      <w:tr w:rsidR="00C3717D" w:rsidTr="0046463C">
        <w:trPr>
          <w:trHeight w:val="526"/>
          <w:jc w:val="center"/>
        </w:trPr>
        <w:tc>
          <w:tcPr>
            <w:tcW w:w="3828" w:type="dxa"/>
            <w:tcBorders>
              <w:top w:val="single" w:sz="4" w:space="0" w:color="auto"/>
            </w:tcBorders>
            <w:vAlign w:val="bottom"/>
          </w:tcPr>
          <w:p w:rsidR="0046463C" w:rsidRPr="000D62D7" w:rsidRDefault="00390D21" w:rsidP="0046463C">
            <w:pPr>
              <w:rPr>
                <w:rFonts w:cs="Arial"/>
              </w:rPr>
            </w:pPr>
            <w:r w:rsidRPr="009776F4">
              <w:rPr>
                <w:rFonts w:cs="Arial"/>
              </w:rPr>
              <w:t>Local Council Tax Support Grant</w:t>
            </w:r>
          </w:p>
        </w:tc>
        <w:tc>
          <w:tcPr>
            <w:tcW w:w="1696" w:type="dxa"/>
            <w:tcBorders>
              <w:top w:val="single" w:sz="4" w:space="0" w:color="auto"/>
              <w:left w:val="nil"/>
              <w:bottom w:val="nil"/>
              <w:right w:val="nil"/>
            </w:tcBorders>
            <w:shd w:val="clear" w:color="auto" w:fill="auto"/>
            <w:vAlign w:val="center"/>
          </w:tcPr>
          <w:p w:rsidR="0046463C" w:rsidRPr="000D62D7" w:rsidRDefault="00390D21" w:rsidP="0046463C">
            <w:pPr>
              <w:spacing w:after="0"/>
              <w:jc w:val="right"/>
              <w:rPr>
                <w:rFonts w:cs="Arial"/>
              </w:rPr>
            </w:pPr>
            <w:r>
              <w:rPr>
                <w:rFonts w:cs="Arial"/>
              </w:rPr>
              <w:t>11.429</w:t>
            </w:r>
          </w:p>
        </w:tc>
        <w:tc>
          <w:tcPr>
            <w:tcW w:w="1654" w:type="dxa"/>
            <w:tcBorders>
              <w:top w:val="single" w:sz="4" w:space="0" w:color="auto"/>
              <w:left w:val="single" w:sz="8" w:space="0" w:color="auto"/>
              <w:bottom w:val="nil"/>
              <w:right w:val="single" w:sz="8" w:space="0" w:color="auto"/>
            </w:tcBorders>
            <w:shd w:val="clear" w:color="auto" w:fill="auto"/>
            <w:vAlign w:val="center"/>
          </w:tcPr>
          <w:p w:rsidR="0046463C" w:rsidRPr="000D62D7" w:rsidRDefault="00390D21" w:rsidP="0046463C">
            <w:pPr>
              <w:spacing w:after="0"/>
              <w:jc w:val="right"/>
              <w:rPr>
                <w:rFonts w:cs="Arial"/>
              </w:rPr>
            </w:pPr>
            <w:r>
              <w:rPr>
                <w:rFonts w:cs="Arial"/>
              </w:rPr>
              <w:t>0.000</w:t>
            </w:r>
          </w:p>
        </w:tc>
        <w:tc>
          <w:tcPr>
            <w:tcW w:w="1654" w:type="dxa"/>
            <w:tcBorders>
              <w:top w:val="single" w:sz="4" w:space="0" w:color="auto"/>
              <w:left w:val="nil"/>
              <w:bottom w:val="nil"/>
              <w:right w:val="single" w:sz="8" w:space="0" w:color="auto"/>
            </w:tcBorders>
            <w:shd w:val="clear" w:color="auto" w:fill="auto"/>
            <w:vAlign w:val="center"/>
          </w:tcPr>
          <w:p w:rsidR="0046463C" w:rsidRPr="000D62D7" w:rsidRDefault="00390D21" w:rsidP="0046463C">
            <w:pPr>
              <w:spacing w:after="0"/>
              <w:jc w:val="right"/>
              <w:rPr>
                <w:rFonts w:cs="Arial"/>
              </w:rPr>
            </w:pPr>
            <w:r>
              <w:rPr>
                <w:rFonts w:cs="Arial"/>
              </w:rPr>
              <w:t>0.000</w:t>
            </w:r>
          </w:p>
        </w:tc>
      </w:tr>
      <w:tr w:rsidR="00C3717D" w:rsidTr="0046463C">
        <w:trPr>
          <w:trHeight w:val="552"/>
          <w:jc w:val="center"/>
        </w:trPr>
        <w:tc>
          <w:tcPr>
            <w:tcW w:w="3828" w:type="dxa"/>
            <w:shd w:val="clear" w:color="auto" w:fill="BFBFBF" w:themeFill="background1" w:themeFillShade="BF"/>
            <w:vAlign w:val="center"/>
          </w:tcPr>
          <w:p w:rsidR="0046463C" w:rsidRPr="000D62D7" w:rsidRDefault="00390D21" w:rsidP="0046463C">
            <w:pPr>
              <w:spacing w:after="0"/>
              <w:rPr>
                <w:rFonts w:eastAsiaTheme="minorHAnsi" w:cs="Arial"/>
                <w:b/>
              </w:rPr>
            </w:pPr>
            <w:r w:rsidRPr="000D62D7">
              <w:rPr>
                <w:rFonts w:eastAsiaTheme="minorHAnsi" w:cs="Arial"/>
                <w:b/>
              </w:rPr>
              <w:t>Total</w:t>
            </w:r>
          </w:p>
        </w:tc>
        <w:tc>
          <w:tcPr>
            <w:tcW w:w="1696" w:type="dxa"/>
            <w:tcBorders>
              <w:top w:val="single" w:sz="8" w:space="0" w:color="auto"/>
              <w:left w:val="nil"/>
              <w:bottom w:val="single" w:sz="8" w:space="0" w:color="auto"/>
              <w:right w:val="single" w:sz="8" w:space="0" w:color="auto"/>
            </w:tcBorders>
            <w:shd w:val="clear" w:color="000000" w:fill="BFBFBF"/>
            <w:vAlign w:val="center"/>
          </w:tcPr>
          <w:p w:rsidR="0046463C" w:rsidRPr="000D62D7" w:rsidRDefault="00390D21" w:rsidP="0046463C">
            <w:pPr>
              <w:autoSpaceDE/>
              <w:autoSpaceDN/>
              <w:adjustRightInd/>
              <w:spacing w:after="0"/>
              <w:jc w:val="right"/>
              <w:rPr>
                <w:rFonts w:eastAsia="Times New Roman" w:cs="Arial"/>
                <w:b/>
                <w:bCs/>
                <w:lang w:eastAsia="en-GB"/>
              </w:rPr>
            </w:pPr>
            <w:r>
              <w:rPr>
                <w:rFonts w:eastAsia="Times New Roman" w:cs="Arial"/>
                <w:b/>
                <w:bCs/>
                <w:lang w:eastAsia="en-GB"/>
              </w:rPr>
              <w:t>879.326</w:t>
            </w:r>
          </w:p>
        </w:tc>
        <w:tc>
          <w:tcPr>
            <w:tcW w:w="1654" w:type="dxa"/>
            <w:tcBorders>
              <w:top w:val="single" w:sz="8" w:space="0" w:color="auto"/>
              <w:left w:val="nil"/>
              <w:bottom w:val="single" w:sz="8" w:space="0" w:color="auto"/>
              <w:right w:val="single" w:sz="8" w:space="0" w:color="auto"/>
            </w:tcBorders>
            <w:shd w:val="clear" w:color="000000" w:fill="BFBFBF"/>
            <w:vAlign w:val="center"/>
          </w:tcPr>
          <w:p w:rsidR="0046463C" w:rsidRPr="000D62D7" w:rsidRDefault="00390D21" w:rsidP="0046463C">
            <w:pPr>
              <w:spacing w:after="0"/>
              <w:jc w:val="right"/>
              <w:rPr>
                <w:rFonts w:cs="Arial"/>
                <w:b/>
                <w:bCs/>
              </w:rPr>
            </w:pPr>
            <w:r>
              <w:rPr>
                <w:rFonts w:cs="Arial"/>
                <w:b/>
                <w:bCs/>
              </w:rPr>
              <w:t>882.755</w:t>
            </w:r>
          </w:p>
        </w:tc>
        <w:tc>
          <w:tcPr>
            <w:tcW w:w="1654" w:type="dxa"/>
            <w:tcBorders>
              <w:top w:val="single" w:sz="8" w:space="0" w:color="auto"/>
              <w:left w:val="nil"/>
              <w:bottom w:val="single" w:sz="8" w:space="0" w:color="auto"/>
              <w:right w:val="single" w:sz="8" w:space="0" w:color="auto"/>
            </w:tcBorders>
            <w:shd w:val="clear" w:color="000000" w:fill="BFBFBF"/>
            <w:vAlign w:val="center"/>
          </w:tcPr>
          <w:p w:rsidR="0046463C" w:rsidRPr="000D62D7" w:rsidRDefault="00390D21" w:rsidP="0046463C">
            <w:pPr>
              <w:spacing w:after="0"/>
              <w:jc w:val="right"/>
              <w:rPr>
                <w:rFonts w:cs="Arial"/>
                <w:b/>
                <w:bCs/>
              </w:rPr>
            </w:pPr>
            <w:r>
              <w:rPr>
                <w:rFonts w:cs="Arial"/>
                <w:b/>
                <w:bCs/>
              </w:rPr>
              <w:t>907.179</w:t>
            </w:r>
          </w:p>
        </w:tc>
      </w:tr>
      <w:tr w:rsidR="00C3717D" w:rsidTr="0046463C">
        <w:trPr>
          <w:trHeight w:val="379"/>
          <w:jc w:val="center"/>
        </w:trPr>
        <w:tc>
          <w:tcPr>
            <w:tcW w:w="3828" w:type="dxa"/>
            <w:shd w:val="clear" w:color="auto" w:fill="auto"/>
            <w:vAlign w:val="center"/>
          </w:tcPr>
          <w:p w:rsidR="0046463C" w:rsidRPr="00E95F45" w:rsidRDefault="00390D21" w:rsidP="0046463C">
            <w:pPr>
              <w:rPr>
                <w:rFonts w:eastAsiaTheme="minorHAnsi" w:cs="Arial"/>
                <w:b/>
                <w:highlight w:val="yellow"/>
              </w:rPr>
            </w:pPr>
          </w:p>
        </w:tc>
        <w:tc>
          <w:tcPr>
            <w:tcW w:w="1696" w:type="dxa"/>
            <w:shd w:val="clear" w:color="auto" w:fill="auto"/>
            <w:vAlign w:val="bottom"/>
          </w:tcPr>
          <w:p w:rsidR="0046463C" w:rsidRPr="00E95F45" w:rsidRDefault="00390D21" w:rsidP="0046463C">
            <w:pPr>
              <w:jc w:val="right"/>
              <w:rPr>
                <w:rFonts w:cs="Arial"/>
                <w:b/>
                <w:highlight w:val="yellow"/>
              </w:rPr>
            </w:pPr>
          </w:p>
        </w:tc>
        <w:tc>
          <w:tcPr>
            <w:tcW w:w="1654" w:type="dxa"/>
            <w:shd w:val="clear" w:color="auto" w:fill="auto"/>
            <w:vAlign w:val="bottom"/>
          </w:tcPr>
          <w:p w:rsidR="0046463C" w:rsidRPr="00E95F45" w:rsidRDefault="00390D21" w:rsidP="0046463C">
            <w:pPr>
              <w:jc w:val="right"/>
              <w:rPr>
                <w:rFonts w:cs="Arial"/>
                <w:b/>
                <w:highlight w:val="yellow"/>
              </w:rPr>
            </w:pPr>
          </w:p>
        </w:tc>
        <w:tc>
          <w:tcPr>
            <w:tcW w:w="1654" w:type="dxa"/>
            <w:shd w:val="clear" w:color="auto" w:fill="auto"/>
            <w:vAlign w:val="bottom"/>
          </w:tcPr>
          <w:p w:rsidR="0046463C" w:rsidRPr="00E95F45" w:rsidRDefault="00390D21" w:rsidP="0046463C">
            <w:pPr>
              <w:jc w:val="right"/>
              <w:rPr>
                <w:rFonts w:cs="Arial"/>
                <w:b/>
                <w:highlight w:val="yellow"/>
              </w:rPr>
            </w:pPr>
          </w:p>
        </w:tc>
      </w:tr>
      <w:tr w:rsidR="00C3717D" w:rsidTr="0046463C">
        <w:trPr>
          <w:trHeight w:val="552"/>
          <w:jc w:val="center"/>
        </w:trPr>
        <w:tc>
          <w:tcPr>
            <w:tcW w:w="3828" w:type="dxa"/>
            <w:shd w:val="clear" w:color="auto" w:fill="auto"/>
            <w:vAlign w:val="center"/>
          </w:tcPr>
          <w:p w:rsidR="0046463C" w:rsidRPr="000D62D7" w:rsidRDefault="00390D21" w:rsidP="0046463C">
            <w:pPr>
              <w:spacing w:after="0"/>
              <w:jc w:val="left"/>
              <w:rPr>
                <w:rFonts w:eastAsiaTheme="minorHAnsi" w:cs="Arial"/>
                <w:b/>
              </w:rPr>
            </w:pPr>
            <w:r w:rsidRPr="000D62D7">
              <w:rPr>
                <w:rFonts w:eastAsiaTheme="minorHAnsi" w:cs="Arial"/>
                <w:b/>
              </w:rPr>
              <w:t>Funding assumed - previous MTFS</w:t>
            </w:r>
          </w:p>
        </w:tc>
        <w:tc>
          <w:tcPr>
            <w:tcW w:w="1696" w:type="dxa"/>
            <w:tcBorders>
              <w:top w:val="nil"/>
              <w:left w:val="nil"/>
              <w:bottom w:val="single" w:sz="8" w:space="0" w:color="auto"/>
              <w:right w:val="single" w:sz="8" w:space="0" w:color="auto"/>
            </w:tcBorders>
            <w:shd w:val="clear" w:color="auto" w:fill="auto"/>
            <w:vAlign w:val="center"/>
          </w:tcPr>
          <w:p w:rsidR="0046463C" w:rsidRPr="000D62D7" w:rsidRDefault="00390D21" w:rsidP="0046463C">
            <w:pPr>
              <w:spacing w:after="0"/>
              <w:jc w:val="right"/>
              <w:rPr>
                <w:rFonts w:cs="Arial"/>
                <w:b/>
              </w:rPr>
            </w:pPr>
            <w:r>
              <w:rPr>
                <w:rFonts w:cs="Arial"/>
                <w:b/>
                <w:bCs/>
              </w:rPr>
              <w:t>841.469</w:t>
            </w:r>
          </w:p>
        </w:tc>
        <w:tc>
          <w:tcPr>
            <w:tcW w:w="1654" w:type="dxa"/>
            <w:tcBorders>
              <w:top w:val="nil"/>
              <w:left w:val="nil"/>
              <w:bottom w:val="single" w:sz="8" w:space="0" w:color="auto"/>
              <w:right w:val="single" w:sz="8" w:space="0" w:color="auto"/>
            </w:tcBorders>
            <w:shd w:val="clear" w:color="auto" w:fill="auto"/>
            <w:vAlign w:val="center"/>
          </w:tcPr>
          <w:p w:rsidR="0046463C" w:rsidRPr="000D62D7" w:rsidRDefault="00390D21" w:rsidP="0046463C">
            <w:pPr>
              <w:spacing w:after="0"/>
              <w:jc w:val="right"/>
              <w:rPr>
                <w:rFonts w:cs="Arial"/>
                <w:b/>
              </w:rPr>
            </w:pPr>
            <w:r>
              <w:rPr>
                <w:rFonts w:cs="Arial"/>
                <w:b/>
                <w:bCs/>
              </w:rPr>
              <w:t>863.093</w:t>
            </w:r>
          </w:p>
        </w:tc>
        <w:tc>
          <w:tcPr>
            <w:tcW w:w="1654" w:type="dxa"/>
            <w:tcBorders>
              <w:top w:val="nil"/>
              <w:left w:val="nil"/>
              <w:bottom w:val="single" w:sz="8" w:space="0" w:color="auto"/>
              <w:right w:val="single" w:sz="8" w:space="0" w:color="auto"/>
            </w:tcBorders>
            <w:shd w:val="clear" w:color="auto" w:fill="auto"/>
            <w:vAlign w:val="center"/>
          </w:tcPr>
          <w:p w:rsidR="0046463C" w:rsidRPr="000D62D7" w:rsidRDefault="00390D21" w:rsidP="0046463C">
            <w:pPr>
              <w:spacing w:after="0"/>
              <w:jc w:val="right"/>
              <w:rPr>
                <w:rFonts w:cs="Arial"/>
                <w:b/>
              </w:rPr>
            </w:pPr>
            <w:r>
              <w:rPr>
                <w:rFonts w:cs="Arial"/>
                <w:b/>
                <w:bCs/>
              </w:rPr>
              <w:t>887.285</w:t>
            </w:r>
          </w:p>
        </w:tc>
      </w:tr>
      <w:tr w:rsidR="00C3717D" w:rsidTr="0046463C">
        <w:trPr>
          <w:trHeight w:val="552"/>
          <w:jc w:val="center"/>
        </w:trPr>
        <w:tc>
          <w:tcPr>
            <w:tcW w:w="3828" w:type="dxa"/>
            <w:shd w:val="clear" w:color="auto" w:fill="BFBFBF" w:themeFill="background1" w:themeFillShade="BF"/>
            <w:vAlign w:val="center"/>
          </w:tcPr>
          <w:p w:rsidR="0046463C" w:rsidRPr="00E95F45" w:rsidRDefault="00390D21" w:rsidP="0046463C">
            <w:pPr>
              <w:spacing w:after="0"/>
              <w:jc w:val="left"/>
              <w:rPr>
                <w:rFonts w:eastAsiaTheme="minorHAnsi" w:cs="Arial"/>
                <w:b/>
                <w:highlight w:val="yellow"/>
              </w:rPr>
            </w:pPr>
            <w:r w:rsidRPr="003210EC">
              <w:rPr>
                <w:rFonts w:eastAsiaTheme="minorHAnsi" w:cs="Arial"/>
                <w:b/>
              </w:rPr>
              <w:t>Variance</w:t>
            </w:r>
          </w:p>
        </w:tc>
        <w:tc>
          <w:tcPr>
            <w:tcW w:w="1696" w:type="dxa"/>
            <w:tcBorders>
              <w:top w:val="nil"/>
              <w:left w:val="nil"/>
              <w:bottom w:val="single" w:sz="4" w:space="0" w:color="auto"/>
              <w:right w:val="single" w:sz="8" w:space="0" w:color="auto"/>
            </w:tcBorders>
            <w:shd w:val="clear" w:color="000000" w:fill="BFBFBF"/>
            <w:vAlign w:val="center"/>
          </w:tcPr>
          <w:p w:rsidR="0046463C" w:rsidRPr="00A90445" w:rsidRDefault="00390D21" w:rsidP="0046463C">
            <w:pPr>
              <w:autoSpaceDE/>
              <w:autoSpaceDN/>
              <w:adjustRightInd/>
              <w:spacing w:after="0"/>
              <w:jc w:val="right"/>
              <w:rPr>
                <w:rFonts w:eastAsia="Times New Roman" w:cs="Arial"/>
                <w:b/>
                <w:lang w:eastAsia="en-GB"/>
              </w:rPr>
            </w:pPr>
            <w:r>
              <w:rPr>
                <w:rFonts w:eastAsia="Times New Roman" w:cs="Arial"/>
                <w:b/>
                <w:lang w:eastAsia="en-GB"/>
              </w:rPr>
              <w:t>37.857</w:t>
            </w:r>
          </w:p>
        </w:tc>
        <w:tc>
          <w:tcPr>
            <w:tcW w:w="1654" w:type="dxa"/>
            <w:tcBorders>
              <w:top w:val="nil"/>
              <w:left w:val="nil"/>
              <w:bottom w:val="single" w:sz="4" w:space="0" w:color="auto"/>
              <w:right w:val="single" w:sz="8" w:space="0" w:color="auto"/>
            </w:tcBorders>
            <w:shd w:val="clear" w:color="000000" w:fill="BFBFBF"/>
            <w:vAlign w:val="center"/>
          </w:tcPr>
          <w:p w:rsidR="0046463C" w:rsidRPr="00A90445" w:rsidRDefault="00390D21" w:rsidP="0046463C">
            <w:pPr>
              <w:spacing w:after="0"/>
              <w:jc w:val="right"/>
              <w:rPr>
                <w:rFonts w:cs="Arial"/>
                <w:b/>
              </w:rPr>
            </w:pPr>
            <w:r>
              <w:rPr>
                <w:rFonts w:cs="Arial"/>
                <w:b/>
              </w:rPr>
              <w:t>19.662</w:t>
            </w:r>
          </w:p>
        </w:tc>
        <w:tc>
          <w:tcPr>
            <w:tcW w:w="1654" w:type="dxa"/>
            <w:tcBorders>
              <w:top w:val="nil"/>
              <w:left w:val="nil"/>
              <w:bottom w:val="single" w:sz="4" w:space="0" w:color="auto"/>
              <w:right w:val="single" w:sz="8" w:space="0" w:color="auto"/>
            </w:tcBorders>
            <w:shd w:val="clear" w:color="000000" w:fill="BFBFBF"/>
            <w:vAlign w:val="center"/>
          </w:tcPr>
          <w:p w:rsidR="0046463C" w:rsidRPr="00A90445" w:rsidRDefault="00390D21" w:rsidP="0046463C">
            <w:pPr>
              <w:spacing w:after="0"/>
              <w:jc w:val="right"/>
              <w:rPr>
                <w:rFonts w:cs="Arial"/>
                <w:b/>
              </w:rPr>
            </w:pPr>
            <w:r>
              <w:rPr>
                <w:rFonts w:cs="Arial"/>
                <w:b/>
              </w:rPr>
              <w:t>19.894</w:t>
            </w:r>
          </w:p>
        </w:tc>
      </w:tr>
      <w:tr w:rsidR="00C3717D" w:rsidTr="0046463C">
        <w:trPr>
          <w:trHeight w:val="552"/>
          <w:jc w:val="center"/>
        </w:trPr>
        <w:tc>
          <w:tcPr>
            <w:tcW w:w="3828" w:type="dxa"/>
            <w:shd w:val="clear" w:color="auto" w:fill="BFBFBF" w:themeFill="background1" w:themeFillShade="BF"/>
            <w:vAlign w:val="center"/>
          </w:tcPr>
          <w:p w:rsidR="0046463C" w:rsidRPr="003210EC" w:rsidRDefault="00390D21" w:rsidP="0046463C">
            <w:pPr>
              <w:spacing w:after="0"/>
              <w:jc w:val="left"/>
              <w:rPr>
                <w:rFonts w:eastAsiaTheme="minorHAnsi" w:cs="Arial"/>
                <w:b/>
              </w:rPr>
            </w:pPr>
            <w:r>
              <w:rPr>
                <w:rFonts w:eastAsiaTheme="minorHAnsi" w:cs="Arial"/>
                <w:b/>
              </w:rPr>
              <w:t>Impact on financial gap</w:t>
            </w:r>
          </w:p>
        </w:tc>
        <w:tc>
          <w:tcPr>
            <w:tcW w:w="1696" w:type="dxa"/>
            <w:tcBorders>
              <w:top w:val="single" w:sz="4" w:space="0" w:color="auto"/>
              <w:left w:val="nil"/>
              <w:bottom w:val="single" w:sz="8" w:space="0" w:color="auto"/>
              <w:right w:val="single" w:sz="8" w:space="0" w:color="auto"/>
            </w:tcBorders>
            <w:shd w:val="clear" w:color="000000" w:fill="BFBFBF"/>
            <w:vAlign w:val="center"/>
          </w:tcPr>
          <w:p w:rsidR="0046463C" w:rsidRPr="00A90445" w:rsidRDefault="00390D21" w:rsidP="0046463C">
            <w:pPr>
              <w:autoSpaceDE/>
              <w:autoSpaceDN/>
              <w:adjustRightInd/>
              <w:spacing w:after="0"/>
              <w:jc w:val="right"/>
              <w:rPr>
                <w:rFonts w:cs="Arial"/>
                <w:b/>
              </w:rPr>
            </w:pPr>
            <w:r>
              <w:rPr>
                <w:rFonts w:cs="Arial"/>
                <w:b/>
              </w:rPr>
              <w:t>-37.857</w:t>
            </w:r>
          </w:p>
        </w:tc>
        <w:tc>
          <w:tcPr>
            <w:tcW w:w="1654" w:type="dxa"/>
            <w:tcBorders>
              <w:top w:val="single" w:sz="4" w:space="0" w:color="auto"/>
              <w:left w:val="nil"/>
              <w:bottom w:val="single" w:sz="8" w:space="0" w:color="auto"/>
              <w:right w:val="single" w:sz="8" w:space="0" w:color="auto"/>
            </w:tcBorders>
            <w:shd w:val="clear" w:color="000000" w:fill="BFBFBF"/>
            <w:vAlign w:val="center"/>
          </w:tcPr>
          <w:p w:rsidR="0046463C" w:rsidRPr="00A90445" w:rsidRDefault="00390D21" w:rsidP="0046463C">
            <w:pPr>
              <w:spacing w:after="0"/>
              <w:jc w:val="right"/>
              <w:rPr>
                <w:rFonts w:cs="Arial"/>
                <w:b/>
              </w:rPr>
            </w:pPr>
            <w:r>
              <w:rPr>
                <w:rFonts w:cs="Arial"/>
                <w:b/>
              </w:rPr>
              <w:t>18.195</w:t>
            </w:r>
          </w:p>
        </w:tc>
        <w:tc>
          <w:tcPr>
            <w:tcW w:w="1654" w:type="dxa"/>
            <w:tcBorders>
              <w:top w:val="single" w:sz="4" w:space="0" w:color="auto"/>
              <w:left w:val="nil"/>
              <w:bottom w:val="single" w:sz="8" w:space="0" w:color="auto"/>
              <w:right w:val="single" w:sz="8" w:space="0" w:color="auto"/>
            </w:tcBorders>
            <w:shd w:val="clear" w:color="000000" w:fill="BFBFBF"/>
            <w:vAlign w:val="center"/>
          </w:tcPr>
          <w:p w:rsidR="0046463C" w:rsidRPr="00A90445" w:rsidRDefault="00390D21" w:rsidP="0046463C">
            <w:pPr>
              <w:spacing w:after="0"/>
              <w:jc w:val="right"/>
              <w:rPr>
                <w:rFonts w:cs="Arial"/>
                <w:b/>
              </w:rPr>
            </w:pPr>
            <w:r>
              <w:rPr>
                <w:rFonts w:cs="Arial"/>
                <w:b/>
              </w:rPr>
              <w:t>-0.232</w:t>
            </w:r>
          </w:p>
        </w:tc>
      </w:tr>
    </w:tbl>
    <w:p w:rsidR="0046463C" w:rsidRDefault="00390D21" w:rsidP="0046463C">
      <w:pPr>
        <w:spacing w:after="0"/>
        <w:rPr>
          <w:rFonts w:cs="Arial"/>
          <w:b/>
          <w:highlight w:val="yellow"/>
        </w:rPr>
      </w:pPr>
    </w:p>
    <w:p w:rsidR="0046463C" w:rsidRDefault="00390D21" w:rsidP="0046463C">
      <w:pPr>
        <w:spacing w:after="0"/>
        <w:rPr>
          <w:rFonts w:cs="Arial"/>
          <w:b/>
          <w:highlight w:val="yellow"/>
        </w:rPr>
      </w:pPr>
    </w:p>
    <w:p w:rsidR="0046463C" w:rsidRDefault="00390D21" w:rsidP="0046463C">
      <w:pPr>
        <w:spacing w:after="0"/>
        <w:rPr>
          <w:rFonts w:cs="Arial"/>
          <w:b/>
          <w:highlight w:val="yellow"/>
        </w:rPr>
      </w:pPr>
    </w:p>
    <w:p w:rsidR="0046463C" w:rsidRDefault="00390D21" w:rsidP="0046463C">
      <w:pPr>
        <w:spacing w:after="0"/>
        <w:rPr>
          <w:rFonts w:cs="Arial"/>
          <w:b/>
          <w:highlight w:val="yellow"/>
        </w:rPr>
      </w:pPr>
    </w:p>
    <w:p w:rsidR="0046463C" w:rsidRDefault="00390D21" w:rsidP="0046463C">
      <w:pPr>
        <w:spacing w:after="0"/>
        <w:rPr>
          <w:rFonts w:cs="Arial"/>
          <w:b/>
          <w:highlight w:val="yellow"/>
        </w:rPr>
      </w:pPr>
    </w:p>
    <w:p w:rsidR="0046463C" w:rsidRDefault="00390D21" w:rsidP="0046463C">
      <w:pPr>
        <w:spacing w:after="0"/>
        <w:rPr>
          <w:rFonts w:cs="Arial"/>
          <w:b/>
          <w:highlight w:val="yellow"/>
        </w:rPr>
      </w:pPr>
    </w:p>
    <w:p w:rsidR="0046463C" w:rsidRDefault="00390D21" w:rsidP="0046463C">
      <w:pPr>
        <w:spacing w:after="0"/>
        <w:rPr>
          <w:rFonts w:cs="Arial"/>
          <w:b/>
          <w:highlight w:val="yellow"/>
        </w:rPr>
      </w:pPr>
    </w:p>
    <w:p w:rsidR="0046463C" w:rsidRDefault="00390D21" w:rsidP="0046463C">
      <w:pPr>
        <w:spacing w:after="0"/>
        <w:rPr>
          <w:rFonts w:cs="Arial"/>
          <w:b/>
          <w:highlight w:val="yellow"/>
        </w:rPr>
      </w:pPr>
    </w:p>
    <w:p w:rsidR="0046463C" w:rsidRDefault="00390D21" w:rsidP="0046463C">
      <w:pPr>
        <w:spacing w:after="0"/>
        <w:rPr>
          <w:rFonts w:cs="Arial"/>
          <w:b/>
          <w:highlight w:val="yellow"/>
        </w:rPr>
      </w:pPr>
    </w:p>
    <w:p w:rsidR="0046463C" w:rsidRDefault="00390D21" w:rsidP="0046463C">
      <w:pPr>
        <w:spacing w:after="0"/>
        <w:rPr>
          <w:rFonts w:cs="Arial"/>
          <w:b/>
          <w:highlight w:val="yellow"/>
        </w:rPr>
      </w:pPr>
    </w:p>
    <w:p w:rsidR="0046463C" w:rsidRDefault="00390D21" w:rsidP="0046463C">
      <w:pPr>
        <w:spacing w:after="0"/>
        <w:rPr>
          <w:rFonts w:cs="Arial"/>
          <w:b/>
          <w:highlight w:val="yellow"/>
        </w:rPr>
      </w:pPr>
    </w:p>
    <w:p w:rsidR="0046463C" w:rsidRDefault="00390D21" w:rsidP="0046463C">
      <w:pPr>
        <w:spacing w:after="0"/>
        <w:rPr>
          <w:rFonts w:cs="Arial"/>
          <w:b/>
          <w:highlight w:val="yellow"/>
        </w:rPr>
      </w:pPr>
    </w:p>
    <w:p w:rsidR="0046463C" w:rsidRDefault="00390D21" w:rsidP="0046463C">
      <w:pPr>
        <w:spacing w:after="0"/>
        <w:rPr>
          <w:rFonts w:cs="Arial"/>
          <w:b/>
          <w:highlight w:val="yellow"/>
        </w:rPr>
      </w:pPr>
    </w:p>
    <w:p w:rsidR="0046463C" w:rsidRDefault="00390D21" w:rsidP="0046463C">
      <w:pPr>
        <w:spacing w:after="0"/>
        <w:rPr>
          <w:rFonts w:cs="Arial"/>
          <w:b/>
          <w:highlight w:val="yellow"/>
        </w:rPr>
      </w:pPr>
    </w:p>
    <w:p w:rsidR="0046463C" w:rsidRDefault="00390D21" w:rsidP="0046463C">
      <w:pPr>
        <w:spacing w:after="0"/>
        <w:rPr>
          <w:rFonts w:cs="Arial"/>
          <w:b/>
          <w:highlight w:val="yellow"/>
        </w:rPr>
      </w:pPr>
    </w:p>
    <w:p w:rsidR="0046463C" w:rsidRDefault="00390D21" w:rsidP="0046463C">
      <w:pPr>
        <w:spacing w:after="0"/>
        <w:rPr>
          <w:rFonts w:cs="Arial"/>
          <w:b/>
          <w:highlight w:val="yellow"/>
        </w:rPr>
      </w:pPr>
    </w:p>
    <w:p w:rsidR="0046463C" w:rsidRPr="00E95F45" w:rsidRDefault="00390D21" w:rsidP="0046463C">
      <w:pPr>
        <w:spacing w:after="0"/>
        <w:rPr>
          <w:rFonts w:cs="Arial"/>
          <w:b/>
          <w:highlight w:val="yellow"/>
        </w:rPr>
      </w:pPr>
    </w:p>
    <w:p w:rsidR="0046463C" w:rsidRPr="003210EC" w:rsidRDefault="00390D21" w:rsidP="0046463C">
      <w:pPr>
        <w:spacing w:after="0"/>
        <w:rPr>
          <w:rFonts w:cs="Arial"/>
          <w:b/>
        </w:rPr>
      </w:pPr>
      <w:r w:rsidRPr="003210EC">
        <w:rPr>
          <w:rFonts w:cs="Arial"/>
          <w:b/>
        </w:rPr>
        <w:lastRenderedPageBreak/>
        <w:t xml:space="preserve">2.1 Council tax and business rates </w:t>
      </w:r>
    </w:p>
    <w:p w:rsidR="0046463C" w:rsidRPr="003210EC" w:rsidRDefault="00390D21" w:rsidP="0046463C">
      <w:pPr>
        <w:spacing w:after="0"/>
        <w:rPr>
          <w:rFonts w:cs="Arial"/>
        </w:rPr>
      </w:pPr>
    </w:p>
    <w:p w:rsidR="0046463C" w:rsidRPr="00544285" w:rsidRDefault="00390D21" w:rsidP="0046463C">
      <w:pPr>
        <w:spacing w:after="0"/>
        <w:rPr>
          <w:rFonts w:cs="Arial"/>
          <w:b/>
          <w:i/>
        </w:rPr>
      </w:pPr>
      <w:r w:rsidRPr="00544285">
        <w:rPr>
          <w:rFonts w:cs="Arial"/>
          <w:b/>
          <w:i/>
        </w:rPr>
        <w:t>Council tax</w:t>
      </w:r>
    </w:p>
    <w:p w:rsidR="0046463C" w:rsidRDefault="00390D21" w:rsidP="0046463C">
      <w:pPr>
        <w:spacing w:after="0"/>
        <w:rPr>
          <w:rFonts w:cs="Arial"/>
        </w:rPr>
      </w:pPr>
      <w:r w:rsidRPr="00544285">
        <w:rPr>
          <w:rFonts w:cs="Arial"/>
        </w:rPr>
        <w:t xml:space="preserve">The MTFS currently reflects the following assumptions in relation to the county </w:t>
      </w:r>
      <w:r w:rsidRPr="00544285">
        <w:rPr>
          <w:rFonts w:cs="Arial"/>
        </w:rPr>
        <w:t>council's council tax increases as previously reported to cabinet, however this is a decision for full council to make each year when setting the budget.</w:t>
      </w:r>
    </w:p>
    <w:p w:rsidR="0046463C" w:rsidRPr="003210EC" w:rsidRDefault="00390D21" w:rsidP="0046463C">
      <w:pPr>
        <w:spacing w:after="0"/>
        <w:rPr>
          <w:rFonts w:cs="Arial"/>
        </w:rPr>
      </w:pPr>
    </w:p>
    <w:p w:rsidR="0046463C" w:rsidRPr="003210EC" w:rsidRDefault="00390D21" w:rsidP="0046463C">
      <w:pPr>
        <w:spacing w:after="0"/>
        <w:rPr>
          <w:rFonts w:cs="Arial"/>
          <w:b/>
          <w:i/>
          <w:u w:val="single"/>
        </w:rPr>
      </w:pPr>
      <w:r w:rsidRPr="003210EC">
        <w:rPr>
          <w:rFonts w:cs="Arial"/>
          <w:b/>
          <w:i/>
          <w:u w:val="single"/>
        </w:rPr>
        <w:t>Table 3</w:t>
      </w:r>
    </w:p>
    <w:tbl>
      <w:tblPr>
        <w:tblStyle w:val="TableGrid11"/>
        <w:tblW w:w="0" w:type="auto"/>
        <w:jc w:val="center"/>
        <w:tblLook w:val="04A0" w:firstRow="1" w:lastRow="0" w:firstColumn="1" w:lastColumn="0" w:noHBand="0" w:noVBand="1"/>
      </w:tblPr>
      <w:tblGrid>
        <w:gridCol w:w="1129"/>
        <w:gridCol w:w="1843"/>
        <w:gridCol w:w="1843"/>
        <w:gridCol w:w="1701"/>
      </w:tblGrid>
      <w:tr w:rsidR="00C3717D" w:rsidTr="0046463C">
        <w:trPr>
          <w:jc w:val="center"/>
        </w:trPr>
        <w:tc>
          <w:tcPr>
            <w:tcW w:w="1129" w:type="dxa"/>
          </w:tcPr>
          <w:p w:rsidR="0046463C" w:rsidRPr="003210EC" w:rsidRDefault="00390D21" w:rsidP="0046463C">
            <w:pPr>
              <w:spacing w:after="0"/>
              <w:rPr>
                <w:rFonts w:cs="Arial"/>
              </w:rPr>
            </w:pPr>
          </w:p>
        </w:tc>
        <w:tc>
          <w:tcPr>
            <w:tcW w:w="1843" w:type="dxa"/>
            <w:vAlign w:val="center"/>
          </w:tcPr>
          <w:p w:rsidR="0046463C" w:rsidRPr="003210EC" w:rsidRDefault="00390D21" w:rsidP="0046463C">
            <w:pPr>
              <w:spacing w:after="0"/>
              <w:jc w:val="center"/>
              <w:rPr>
                <w:rFonts w:cs="Arial"/>
              </w:rPr>
            </w:pPr>
            <w:r w:rsidRPr="003210EC">
              <w:rPr>
                <w:rFonts w:cs="Arial"/>
              </w:rPr>
              <w:t>Council tax increase (no referendum required)</w:t>
            </w:r>
          </w:p>
        </w:tc>
        <w:tc>
          <w:tcPr>
            <w:tcW w:w="1843" w:type="dxa"/>
            <w:vAlign w:val="center"/>
          </w:tcPr>
          <w:p w:rsidR="0046463C" w:rsidRPr="003210EC" w:rsidRDefault="00390D21" w:rsidP="0046463C">
            <w:pPr>
              <w:spacing w:after="0"/>
              <w:jc w:val="center"/>
              <w:rPr>
                <w:rFonts w:cs="Arial"/>
              </w:rPr>
            </w:pPr>
            <w:r w:rsidRPr="003210EC">
              <w:rPr>
                <w:rFonts w:cs="Arial"/>
              </w:rPr>
              <w:t>Adult social care precept</w:t>
            </w:r>
          </w:p>
        </w:tc>
        <w:tc>
          <w:tcPr>
            <w:tcW w:w="1701" w:type="dxa"/>
            <w:vAlign w:val="center"/>
          </w:tcPr>
          <w:p w:rsidR="0046463C" w:rsidRPr="003210EC" w:rsidRDefault="00390D21" w:rsidP="0046463C">
            <w:pPr>
              <w:spacing w:after="0"/>
              <w:jc w:val="center"/>
              <w:rPr>
                <w:rFonts w:cs="Arial"/>
              </w:rPr>
            </w:pPr>
            <w:r w:rsidRPr="003210EC">
              <w:rPr>
                <w:rFonts w:cs="Arial"/>
              </w:rPr>
              <w:t>Total council tax in</w:t>
            </w:r>
            <w:r w:rsidRPr="003210EC">
              <w:rPr>
                <w:rFonts w:cs="Arial"/>
              </w:rPr>
              <w:t>crease</w:t>
            </w:r>
          </w:p>
        </w:tc>
      </w:tr>
      <w:tr w:rsidR="00C3717D" w:rsidTr="0046463C">
        <w:trPr>
          <w:jc w:val="center"/>
        </w:trPr>
        <w:tc>
          <w:tcPr>
            <w:tcW w:w="1129" w:type="dxa"/>
          </w:tcPr>
          <w:p w:rsidR="0046463C" w:rsidRPr="003210EC" w:rsidRDefault="00390D21" w:rsidP="0046463C">
            <w:pPr>
              <w:spacing w:after="0"/>
              <w:rPr>
                <w:rFonts w:cs="Arial"/>
              </w:rPr>
            </w:pPr>
            <w:r w:rsidRPr="003210EC">
              <w:rPr>
                <w:rFonts w:cs="Arial"/>
              </w:rPr>
              <w:t>2021/22</w:t>
            </w:r>
          </w:p>
        </w:tc>
        <w:tc>
          <w:tcPr>
            <w:tcW w:w="1843" w:type="dxa"/>
          </w:tcPr>
          <w:p w:rsidR="0046463C" w:rsidRPr="003210EC" w:rsidRDefault="00390D21" w:rsidP="0046463C">
            <w:pPr>
              <w:spacing w:after="0"/>
              <w:jc w:val="center"/>
              <w:rPr>
                <w:rFonts w:cs="Arial"/>
              </w:rPr>
            </w:pPr>
            <w:r w:rsidRPr="003210EC">
              <w:rPr>
                <w:rFonts w:cs="Arial"/>
              </w:rPr>
              <w:t>1.99%</w:t>
            </w:r>
          </w:p>
        </w:tc>
        <w:tc>
          <w:tcPr>
            <w:tcW w:w="1843" w:type="dxa"/>
          </w:tcPr>
          <w:p w:rsidR="0046463C" w:rsidRPr="003210EC" w:rsidRDefault="00390D21" w:rsidP="0046463C">
            <w:pPr>
              <w:spacing w:after="0"/>
              <w:jc w:val="center"/>
              <w:rPr>
                <w:rFonts w:cs="Arial"/>
              </w:rPr>
            </w:pPr>
            <w:r>
              <w:rPr>
                <w:rFonts w:cs="Arial"/>
              </w:rPr>
              <w:t>3.00</w:t>
            </w:r>
            <w:r w:rsidRPr="003210EC">
              <w:rPr>
                <w:rFonts w:cs="Arial"/>
              </w:rPr>
              <w:t>%</w:t>
            </w:r>
          </w:p>
        </w:tc>
        <w:tc>
          <w:tcPr>
            <w:tcW w:w="1701" w:type="dxa"/>
          </w:tcPr>
          <w:p w:rsidR="0046463C" w:rsidRPr="003210EC" w:rsidRDefault="00390D21" w:rsidP="0046463C">
            <w:pPr>
              <w:spacing w:after="0"/>
              <w:jc w:val="center"/>
              <w:rPr>
                <w:rFonts w:cs="Arial"/>
              </w:rPr>
            </w:pPr>
            <w:r>
              <w:rPr>
                <w:rFonts w:cs="Arial"/>
              </w:rPr>
              <w:t>4.99%</w:t>
            </w:r>
          </w:p>
        </w:tc>
      </w:tr>
      <w:tr w:rsidR="00C3717D" w:rsidTr="0046463C">
        <w:trPr>
          <w:jc w:val="center"/>
        </w:trPr>
        <w:tc>
          <w:tcPr>
            <w:tcW w:w="1129" w:type="dxa"/>
          </w:tcPr>
          <w:p w:rsidR="0046463C" w:rsidRPr="003210EC" w:rsidRDefault="00390D21" w:rsidP="0046463C">
            <w:pPr>
              <w:spacing w:after="0"/>
              <w:rPr>
                <w:rFonts w:cs="Arial"/>
              </w:rPr>
            </w:pPr>
            <w:r w:rsidRPr="003210EC">
              <w:rPr>
                <w:rFonts w:cs="Arial"/>
              </w:rPr>
              <w:t>2022/23</w:t>
            </w:r>
          </w:p>
        </w:tc>
        <w:tc>
          <w:tcPr>
            <w:tcW w:w="1843" w:type="dxa"/>
          </w:tcPr>
          <w:p w:rsidR="0046463C" w:rsidRPr="003210EC" w:rsidRDefault="00390D21" w:rsidP="0046463C">
            <w:pPr>
              <w:spacing w:after="0"/>
              <w:jc w:val="center"/>
              <w:rPr>
                <w:rFonts w:cs="Arial"/>
              </w:rPr>
            </w:pPr>
            <w:r w:rsidRPr="003210EC">
              <w:rPr>
                <w:rFonts w:cs="Arial"/>
              </w:rPr>
              <w:t>1.99%</w:t>
            </w:r>
          </w:p>
        </w:tc>
        <w:tc>
          <w:tcPr>
            <w:tcW w:w="1843" w:type="dxa"/>
          </w:tcPr>
          <w:p w:rsidR="0046463C" w:rsidRPr="003210EC" w:rsidRDefault="00390D21" w:rsidP="0046463C">
            <w:pPr>
              <w:spacing w:after="0"/>
              <w:jc w:val="center"/>
              <w:rPr>
                <w:rFonts w:cs="Arial"/>
              </w:rPr>
            </w:pPr>
            <w:r w:rsidRPr="003210EC">
              <w:rPr>
                <w:rFonts w:cs="Arial"/>
              </w:rPr>
              <w:t>0.00%</w:t>
            </w:r>
          </w:p>
        </w:tc>
        <w:tc>
          <w:tcPr>
            <w:tcW w:w="1701" w:type="dxa"/>
          </w:tcPr>
          <w:p w:rsidR="0046463C" w:rsidRPr="003210EC" w:rsidRDefault="00390D21" w:rsidP="0046463C">
            <w:pPr>
              <w:spacing w:after="0"/>
              <w:jc w:val="center"/>
              <w:rPr>
                <w:rFonts w:cs="Arial"/>
              </w:rPr>
            </w:pPr>
            <w:r w:rsidRPr="003210EC">
              <w:rPr>
                <w:rFonts w:cs="Arial"/>
              </w:rPr>
              <w:t>1.99%</w:t>
            </w:r>
          </w:p>
        </w:tc>
      </w:tr>
      <w:tr w:rsidR="00C3717D" w:rsidTr="0046463C">
        <w:trPr>
          <w:jc w:val="center"/>
        </w:trPr>
        <w:tc>
          <w:tcPr>
            <w:tcW w:w="1129" w:type="dxa"/>
          </w:tcPr>
          <w:p w:rsidR="0046463C" w:rsidRPr="003210EC" w:rsidRDefault="00390D21" w:rsidP="0046463C">
            <w:pPr>
              <w:spacing w:after="0"/>
              <w:rPr>
                <w:rFonts w:cs="Arial"/>
              </w:rPr>
            </w:pPr>
            <w:r w:rsidRPr="003210EC">
              <w:rPr>
                <w:rFonts w:cs="Arial"/>
              </w:rPr>
              <w:t>2023/24</w:t>
            </w:r>
          </w:p>
        </w:tc>
        <w:tc>
          <w:tcPr>
            <w:tcW w:w="1843" w:type="dxa"/>
          </w:tcPr>
          <w:p w:rsidR="0046463C" w:rsidRPr="003210EC" w:rsidRDefault="00390D21" w:rsidP="0046463C">
            <w:pPr>
              <w:spacing w:after="0"/>
              <w:jc w:val="center"/>
              <w:rPr>
                <w:rFonts w:cs="Arial"/>
              </w:rPr>
            </w:pPr>
            <w:r w:rsidRPr="003210EC">
              <w:rPr>
                <w:rFonts w:cs="Arial"/>
              </w:rPr>
              <w:t>1.99%</w:t>
            </w:r>
          </w:p>
        </w:tc>
        <w:tc>
          <w:tcPr>
            <w:tcW w:w="1843" w:type="dxa"/>
          </w:tcPr>
          <w:p w:rsidR="0046463C" w:rsidRPr="003210EC" w:rsidRDefault="00390D21" w:rsidP="0046463C">
            <w:pPr>
              <w:spacing w:after="0"/>
              <w:jc w:val="center"/>
              <w:rPr>
                <w:rFonts w:cs="Arial"/>
              </w:rPr>
            </w:pPr>
            <w:r w:rsidRPr="003210EC">
              <w:rPr>
                <w:rFonts w:cs="Arial"/>
              </w:rPr>
              <w:t>0.00%</w:t>
            </w:r>
          </w:p>
        </w:tc>
        <w:tc>
          <w:tcPr>
            <w:tcW w:w="1701" w:type="dxa"/>
          </w:tcPr>
          <w:p w:rsidR="0046463C" w:rsidRPr="003210EC" w:rsidRDefault="00390D21" w:rsidP="0046463C">
            <w:pPr>
              <w:spacing w:after="0"/>
              <w:jc w:val="center"/>
              <w:rPr>
                <w:rFonts w:cs="Arial"/>
              </w:rPr>
            </w:pPr>
            <w:r w:rsidRPr="003210EC">
              <w:rPr>
                <w:rFonts w:cs="Arial"/>
              </w:rPr>
              <w:t>1.99%</w:t>
            </w:r>
          </w:p>
        </w:tc>
      </w:tr>
      <w:tr w:rsidR="00C3717D" w:rsidTr="0046463C">
        <w:trPr>
          <w:jc w:val="center"/>
        </w:trPr>
        <w:tc>
          <w:tcPr>
            <w:tcW w:w="1129" w:type="dxa"/>
          </w:tcPr>
          <w:p w:rsidR="0046463C" w:rsidRPr="003210EC" w:rsidRDefault="00390D21" w:rsidP="0046463C">
            <w:pPr>
              <w:spacing w:after="0"/>
              <w:rPr>
                <w:rFonts w:cs="Arial"/>
              </w:rPr>
            </w:pPr>
            <w:r w:rsidRPr="003210EC">
              <w:rPr>
                <w:rFonts w:cs="Arial"/>
              </w:rPr>
              <w:t>2024/25</w:t>
            </w:r>
          </w:p>
        </w:tc>
        <w:tc>
          <w:tcPr>
            <w:tcW w:w="1843" w:type="dxa"/>
          </w:tcPr>
          <w:p w:rsidR="0046463C" w:rsidRPr="003210EC" w:rsidRDefault="00390D21" w:rsidP="0046463C">
            <w:pPr>
              <w:spacing w:after="0"/>
              <w:jc w:val="center"/>
              <w:rPr>
                <w:rFonts w:cs="Arial"/>
              </w:rPr>
            </w:pPr>
            <w:r w:rsidRPr="003210EC">
              <w:rPr>
                <w:rFonts w:cs="Arial"/>
              </w:rPr>
              <w:t>1.99%</w:t>
            </w:r>
          </w:p>
        </w:tc>
        <w:tc>
          <w:tcPr>
            <w:tcW w:w="1843" w:type="dxa"/>
          </w:tcPr>
          <w:p w:rsidR="0046463C" w:rsidRPr="003210EC" w:rsidRDefault="00390D21" w:rsidP="0046463C">
            <w:pPr>
              <w:spacing w:after="0"/>
              <w:jc w:val="center"/>
              <w:rPr>
                <w:rFonts w:cs="Arial"/>
              </w:rPr>
            </w:pPr>
            <w:r w:rsidRPr="003210EC">
              <w:rPr>
                <w:rFonts w:cs="Arial"/>
              </w:rPr>
              <w:t>0.00%</w:t>
            </w:r>
          </w:p>
        </w:tc>
        <w:tc>
          <w:tcPr>
            <w:tcW w:w="1701" w:type="dxa"/>
          </w:tcPr>
          <w:p w:rsidR="0046463C" w:rsidRPr="003210EC" w:rsidRDefault="00390D21" w:rsidP="0046463C">
            <w:pPr>
              <w:spacing w:after="0"/>
              <w:jc w:val="center"/>
              <w:rPr>
                <w:rFonts w:cs="Arial"/>
              </w:rPr>
            </w:pPr>
            <w:r w:rsidRPr="003210EC">
              <w:rPr>
                <w:rFonts w:cs="Arial"/>
              </w:rPr>
              <w:t>1.99%</w:t>
            </w:r>
          </w:p>
        </w:tc>
      </w:tr>
    </w:tbl>
    <w:p w:rsidR="0046463C" w:rsidRPr="003210EC" w:rsidRDefault="00390D21" w:rsidP="0046463C">
      <w:pPr>
        <w:spacing w:after="0"/>
        <w:rPr>
          <w:rFonts w:cs="Arial"/>
        </w:rPr>
      </w:pPr>
    </w:p>
    <w:p w:rsidR="0046463C" w:rsidRPr="0049468E" w:rsidRDefault="00390D21" w:rsidP="0046463C">
      <w:pPr>
        <w:spacing w:after="0"/>
        <w:rPr>
          <w:rFonts w:cs="Arial"/>
          <w:highlight w:val="yellow"/>
          <w:u w:val="single"/>
        </w:rPr>
      </w:pPr>
      <w:r w:rsidRPr="00544285">
        <w:rPr>
          <w:rFonts w:cs="Arial"/>
        </w:rPr>
        <w:t xml:space="preserve">As part of the provisional settlement it was confirmed that the maximum increase that we will be able to apply to council tax, without a </w:t>
      </w:r>
      <w:r w:rsidRPr="00544285">
        <w:rPr>
          <w:rFonts w:cs="Arial"/>
        </w:rPr>
        <w:t>referendum, will be 1.99%. In addition those authorities with responsibility for adult social care have the ability to raise council tax by an additional 3% through a</w:t>
      </w:r>
      <w:r>
        <w:rPr>
          <w:rFonts w:cs="Arial"/>
        </w:rPr>
        <w:t>n</w:t>
      </w:r>
      <w:r w:rsidRPr="00544285">
        <w:rPr>
          <w:rFonts w:cs="Arial"/>
        </w:rPr>
        <w:t xml:space="preserve"> adult social care precept. </w:t>
      </w:r>
      <w:r>
        <w:rPr>
          <w:rFonts w:cs="Arial"/>
        </w:rPr>
        <w:t xml:space="preserve">It has also been confirmed that any of the 3% allowed </w:t>
      </w:r>
      <w:r>
        <w:rPr>
          <w:rFonts w:cs="Arial"/>
        </w:rPr>
        <w:t>increase not taken in 2021/22 can be carried forward and applied in 2022/23.</w:t>
      </w:r>
      <w:r w:rsidRPr="00544285">
        <w:rPr>
          <w:rFonts w:cs="Arial"/>
        </w:rPr>
        <w:t xml:space="preserve">  Any decisions not to increase council tax in line with the assumptions above would increase the financial gap; every 1% in council tax yields circa £5.</w:t>
      </w:r>
      <w:r>
        <w:rPr>
          <w:rFonts w:cs="Arial"/>
        </w:rPr>
        <w:t>145</w:t>
      </w:r>
      <w:r w:rsidRPr="00544285">
        <w:rPr>
          <w:rFonts w:cs="Arial"/>
        </w:rPr>
        <w:t>m.</w:t>
      </w:r>
      <w:r w:rsidRPr="00544285">
        <w:rPr>
          <w:rFonts w:cs="Arial"/>
          <w:u w:val="single"/>
        </w:rPr>
        <w:t xml:space="preserve"> </w:t>
      </w:r>
    </w:p>
    <w:p w:rsidR="0046463C" w:rsidRDefault="00390D21" w:rsidP="0046463C">
      <w:pPr>
        <w:spacing w:after="0"/>
        <w:rPr>
          <w:rFonts w:cs="Arial"/>
          <w:b/>
          <w:highlight w:val="yellow"/>
        </w:rPr>
      </w:pPr>
    </w:p>
    <w:p w:rsidR="0046463C" w:rsidRPr="00544285" w:rsidRDefault="00390D21" w:rsidP="0046463C">
      <w:pPr>
        <w:spacing w:after="0"/>
        <w:rPr>
          <w:rFonts w:cs="Arial"/>
        </w:rPr>
      </w:pPr>
      <w:r w:rsidRPr="00544285">
        <w:rPr>
          <w:rFonts w:cs="Arial"/>
        </w:rPr>
        <w:t xml:space="preserve">The calculation of </w:t>
      </w:r>
      <w:r w:rsidRPr="00544285">
        <w:rPr>
          <w:rFonts w:cs="Arial"/>
        </w:rPr>
        <w:t>the council tax base position in 2021/22 is particularly challenging as district councils need to assess the number of properties that can be taxed, the collection rate and also the council tax support schemes that they offer. The Government has provided a</w:t>
      </w:r>
      <w:r w:rsidRPr="00544285">
        <w:rPr>
          <w:rFonts w:cs="Arial"/>
        </w:rPr>
        <w:t>dditional support to compensate a reduced tax base due to the impact of Covid-19. Early indications from district councils are that there will be a reduction in tax base, but they are working through their position in order to provide their tax base for 20</w:t>
      </w:r>
      <w:r w:rsidRPr="00544285">
        <w:rPr>
          <w:rFonts w:cs="Arial"/>
        </w:rPr>
        <w:t>21/22 by the statutory deadline of 31</w:t>
      </w:r>
      <w:r w:rsidRPr="00544285">
        <w:rPr>
          <w:rFonts w:cs="Arial"/>
          <w:vertAlign w:val="superscript"/>
        </w:rPr>
        <w:t>st</w:t>
      </w:r>
      <w:r w:rsidRPr="00544285">
        <w:rPr>
          <w:rFonts w:cs="Arial"/>
        </w:rPr>
        <w:t xml:space="preserve"> January 2021. Within the MTFS at quarter 3 we have assumed a reduction in tax base of 1%, however this is subject to change as further information becomes available from district colleagues. The county council has be</w:t>
      </w:r>
      <w:r w:rsidRPr="00544285">
        <w:rPr>
          <w:rFonts w:cs="Arial"/>
        </w:rPr>
        <w:t xml:space="preserve">en allocated £11.429m of additional funding to compensate for losses due to the council tax support schemes and this has been included in the MTFS at quarter 3. </w:t>
      </w:r>
    </w:p>
    <w:p w:rsidR="0046463C" w:rsidRPr="00544285" w:rsidRDefault="00390D21" w:rsidP="0046463C">
      <w:pPr>
        <w:spacing w:after="0"/>
        <w:rPr>
          <w:rFonts w:cs="Arial"/>
          <w:b/>
        </w:rPr>
      </w:pPr>
    </w:p>
    <w:p w:rsidR="0046463C" w:rsidRPr="00544285" w:rsidRDefault="00390D21" w:rsidP="0046463C">
      <w:pPr>
        <w:spacing w:after="0"/>
        <w:rPr>
          <w:rFonts w:cs="Arial"/>
        </w:rPr>
      </w:pPr>
      <w:r w:rsidRPr="00544285">
        <w:rPr>
          <w:rFonts w:cs="Arial"/>
        </w:rPr>
        <w:t>For 2022/23 a 1% increase in tax base has been built in to the forecast, and in 2023/24 retur</w:t>
      </w:r>
      <w:r w:rsidRPr="00544285">
        <w:rPr>
          <w:rFonts w:cs="Arial"/>
        </w:rPr>
        <w:t>ns to 1.7% increase. This has been assumed based on</w:t>
      </w:r>
      <w:r>
        <w:rPr>
          <w:rFonts w:cs="Arial"/>
        </w:rPr>
        <w:t xml:space="preserve"> historical average increases. </w:t>
      </w:r>
      <w:r w:rsidRPr="00544285">
        <w:rPr>
          <w:rFonts w:cs="Arial"/>
        </w:rPr>
        <w:t xml:space="preserve">This position will be impacted dependent upon the duration of the pandemic. </w:t>
      </w:r>
    </w:p>
    <w:p w:rsidR="0046463C" w:rsidRPr="0024318F" w:rsidRDefault="00390D21" w:rsidP="0046463C">
      <w:pPr>
        <w:spacing w:after="0"/>
        <w:rPr>
          <w:rFonts w:cs="Arial"/>
          <w:b/>
        </w:rPr>
      </w:pPr>
    </w:p>
    <w:p w:rsidR="0046463C" w:rsidRPr="0024318F" w:rsidRDefault="00390D21" w:rsidP="0046463C">
      <w:pPr>
        <w:spacing w:after="0"/>
        <w:rPr>
          <w:rFonts w:cs="Arial"/>
          <w:b/>
          <w:i/>
        </w:rPr>
      </w:pPr>
      <w:r w:rsidRPr="0024318F">
        <w:rPr>
          <w:rFonts w:cs="Arial"/>
          <w:b/>
          <w:i/>
        </w:rPr>
        <w:t>Business rates</w:t>
      </w:r>
    </w:p>
    <w:p w:rsidR="0046463C" w:rsidRPr="0024318F" w:rsidRDefault="00390D21" w:rsidP="0046463C">
      <w:pPr>
        <w:spacing w:after="0"/>
        <w:rPr>
          <w:rFonts w:cs="Arial"/>
        </w:rPr>
      </w:pPr>
      <w:r w:rsidRPr="0024318F">
        <w:rPr>
          <w:rFonts w:cs="Arial"/>
        </w:rPr>
        <w:t>Business rates income is a significant portion of funding to local authorities. T</w:t>
      </w:r>
      <w:r w:rsidRPr="0024318F">
        <w:rPr>
          <w:rFonts w:cs="Arial"/>
        </w:rPr>
        <w:t xml:space="preserve">he baseline is an assessment of the business rate income required to meet service needs. For the county council, the amount we anticipate to receive from the business rates collected in the area is less than our assessed need and therefore we receive a </w:t>
      </w:r>
      <w:r w:rsidRPr="0024318F">
        <w:rPr>
          <w:rFonts w:cs="Arial"/>
        </w:rPr>
        <w:lastRenderedPageBreak/>
        <w:t>top</w:t>
      </w:r>
      <w:r w:rsidRPr="0024318F">
        <w:rPr>
          <w:rFonts w:cs="Arial"/>
        </w:rPr>
        <w:t xml:space="preserve"> up grant.   Previously, we have also built in a small amount of growth into the MTFS for our local share at 0.5%.</w:t>
      </w:r>
    </w:p>
    <w:p w:rsidR="0046463C" w:rsidRPr="0049468E" w:rsidRDefault="00390D21" w:rsidP="0046463C">
      <w:pPr>
        <w:tabs>
          <w:tab w:val="left" w:pos="567"/>
          <w:tab w:val="left" w:pos="1134"/>
        </w:tabs>
        <w:spacing w:after="0"/>
        <w:rPr>
          <w:rFonts w:cs="Arial"/>
          <w:highlight w:val="yellow"/>
        </w:rPr>
      </w:pPr>
    </w:p>
    <w:p w:rsidR="0046463C" w:rsidRPr="0024318F" w:rsidRDefault="00390D21" w:rsidP="0046463C">
      <w:pPr>
        <w:tabs>
          <w:tab w:val="left" w:pos="567"/>
          <w:tab w:val="left" w:pos="1134"/>
        </w:tabs>
        <w:spacing w:after="0"/>
        <w:rPr>
          <w:rFonts w:cs="Arial"/>
        </w:rPr>
      </w:pPr>
      <w:r w:rsidRPr="0024318F">
        <w:rPr>
          <w:rFonts w:cs="Arial"/>
        </w:rPr>
        <w:t>As a result of the impact of Covid-19, the national review of business rates has been delayed and as part of the provisional settlement 2021</w:t>
      </w:r>
      <w:r w:rsidRPr="0024318F">
        <w:rPr>
          <w:rFonts w:cs="Arial"/>
        </w:rPr>
        <w:t xml:space="preserve">/22 rates will effectively be a 'rollover' of 2020/21 – a continuation of the 50% scheme, with the 75% scheme forecast to be in place from 2022/23 onwards.    </w:t>
      </w:r>
    </w:p>
    <w:p w:rsidR="0046463C" w:rsidRPr="0049468E" w:rsidRDefault="00390D21" w:rsidP="0046463C">
      <w:pPr>
        <w:spacing w:after="0"/>
        <w:rPr>
          <w:rFonts w:cs="Arial"/>
          <w:highlight w:val="yellow"/>
        </w:rPr>
      </w:pPr>
    </w:p>
    <w:p w:rsidR="0046463C" w:rsidRPr="0024318F" w:rsidRDefault="00390D21" w:rsidP="0046463C">
      <w:pPr>
        <w:tabs>
          <w:tab w:val="left" w:pos="567"/>
          <w:tab w:val="left" w:pos="1134"/>
        </w:tabs>
        <w:spacing w:after="0"/>
        <w:rPr>
          <w:rFonts w:cs="Arial"/>
        </w:rPr>
      </w:pPr>
      <w:r w:rsidRPr="0024318F">
        <w:rPr>
          <w:rFonts w:cs="Arial"/>
        </w:rPr>
        <w:t xml:space="preserve">No growth or uplift has been forecast for 2021/22.  0.5% growth has been built in to the local </w:t>
      </w:r>
      <w:r w:rsidRPr="0024318F">
        <w:rPr>
          <w:rFonts w:cs="Arial"/>
        </w:rPr>
        <w:t xml:space="preserve">share forecast from 2022/23 onwards. </w:t>
      </w:r>
    </w:p>
    <w:p w:rsidR="0046463C" w:rsidRPr="0049468E" w:rsidRDefault="00390D21" w:rsidP="0046463C">
      <w:pPr>
        <w:spacing w:after="0"/>
        <w:rPr>
          <w:b/>
          <w:highlight w:val="yellow"/>
        </w:rPr>
      </w:pPr>
    </w:p>
    <w:p w:rsidR="0046463C" w:rsidRPr="0024318F" w:rsidRDefault="00390D21" w:rsidP="0046463C">
      <w:pPr>
        <w:spacing w:after="0"/>
        <w:rPr>
          <w:b/>
          <w:i/>
        </w:rPr>
      </w:pPr>
      <w:r w:rsidRPr="0024318F">
        <w:rPr>
          <w:b/>
          <w:i/>
        </w:rPr>
        <w:t>Collection Fund</w:t>
      </w:r>
    </w:p>
    <w:p w:rsidR="0046463C" w:rsidRPr="0024318F" w:rsidRDefault="00390D21" w:rsidP="0046463C">
      <w:pPr>
        <w:spacing w:after="0"/>
        <w:rPr>
          <w:rFonts w:cs="Arial"/>
        </w:rPr>
      </w:pPr>
      <w:r w:rsidRPr="0024318F">
        <w:rPr>
          <w:rFonts w:cs="Arial"/>
        </w:rPr>
        <w:t>One of the measures announced by the Government to try and mitigate the budget pressures on local authorities as a result of collection fund deficits was that any deficit for 2020/21 will be repaid ove</w:t>
      </w:r>
      <w:r w:rsidRPr="0024318F">
        <w:rPr>
          <w:rFonts w:cs="Arial"/>
        </w:rPr>
        <w:t>r the following three years.</w:t>
      </w:r>
    </w:p>
    <w:p w:rsidR="0046463C" w:rsidRPr="0024318F" w:rsidRDefault="00390D21" w:rsidP="0046463C">
      <w:pPr>
        <w:spacing w:after="0"/>
        <w:rPr>
          <w:rFonts w:cs="Arial"/>
        </w:rPr>
      </w:pPr>
    </w:p>
    <w:p w:rsidR="0046463C" w:rsidRPr="0024318F" w:rsidRDefault="00390D21" w:rsidP="0046463C">
      <w:pPr>
        <w:spacing w:after="0"/>
        <w:rPr>
          <w:rFonts w:cs="Arial"/>
        </w:rPr>
      </w:pPr>
      <w:r w:rsidRPr="0024318F">
        <w:rPr>
          <w:rFonts w:cs="Arial"/>
        </w:rPr>
        <w:t>The latest information received from districts suggests that there will be a c£20.7m pressure for LCC as a result of the collection fund issue and thus a c£6.9m in year pressure for financial years 2021/22</w:t>
      </w:r>
      <w:r>
        <w:rPr>
          <w:rFonts w:cs="Arial"/>
        </w:rPr>
        <w:t xml:space="preserve"> </w:t>
      </w:r>
      <w:r w:rsidRPr="0024318F">
        <w:rPr>
          <w:rFonts w:cs="Arial"/>
        </w:rPr>
        <w:t>-</w:t>
      </w:r>
      <w:r>
        <w:rPr>
          <w:rFonts w:cs="Arial"/>
        </w:rPr>
        <w:t xml:space="preserve"> </w:t>
      </w:r>
      <w:r w:rsidRPr="0024318F">
        <w:rPr>
          <w:rFonts w:cs="Arial"/>
        </w:rPr>
        <w:t>2023/24. This posi</w:t>
      </w:r>
      <w:r w:rsidRPr="0024318F">
        <w:rPr>
          <w:rFonts w:cs="Arial"/>
        </w:rPr>
        <w:t>tion is based upon the latest information provided by district councils as part of regular returns to the Government. This will need to be closely monitored as changes in relation to restrictions, such as the movement to Tier 3</w:t>
      </w:r>
      <w:r>
        <w:rPr>
          <w:rFonts w:cs="Arial"/>
        </w:rPr>
        <w:t xml:space="preserve"> and 4</w:t>
      </w:r>
      <w:r w:rsidRPr="0024318F">
        <w:rPr>
          <w:rFonts w:cs="Arial"/>
        </w:rPr>
        <w:t xml:space="preserve"> are implemented and ha</w:t>
      </w:r>
      <w:r w:rsidRPr="0024318F">
        <w:rPr>
          <w:rFonts w:cs="Arial"/>
        </w:rPr>
        <w:t xml:space="preserve">ve an impact on businesses. </w:t>
      </w:r>
    </w:p>
    <w:p w:rsidR="0046463C" w:rsidRDefault="00390D21" w:rsidP="0046463C">
      <w:pPr>
        <w:spacing w:after="0"/>
        <w:rPr>
          <w:rFonts w:cs="Arial"/>
          <w:highlight w:val="yellow"/>
        </w:rPr>
      </w:pPr>
    </w:p>
    <w:p w:rsidR="0046463C" w:rsidRPr="0024318F" w:rsidRDefault="00390D21" w:rsidP="0046463C">
      <w:pPr>
        <w:spacing w:after="0"/>
        <w:rPr>
          <w:rFonts w:cs="Arial"/>
        </w:rPr>
      </w:pPr>
      <w:r w:rsidRPr="0024318F">
        <w:rPr>
          <w:rFonts w:cs="Arial"/>
        </w:rPr>
        <w:t xml:space="preserve">As part of the provisional settlement </w:t>
      </w:r>
      <w:r>
        <w:rPr>
          <w:rFonts w:cs="Arial"/>
        </w:rPr>
        <w:t>it was announced that the Government will provide funding to support 75% of irrecoverable losses. Therefore as part of the MTFS at quarter 3 we have reduced the impact in each of the next 3 years. This may be an overly simplistic way of undertaking the cal</w:t>
      </w:r>
      <w:r>
        <w:rPr>
          <w:rFonts w:cs="Arial"/>
        </w:rPr>
        <w:t xml:space="preserve">culation, but at this stage our district colleagues are working through the additional guidance and calculation templates provided by MHCLG and we await confirmation of their deficit position. </w:t>
      </w:r>
    </w:p>
    <w:p w:rsidR="0046463C" w:rsidRPr="0049468E" w:rsidRDefault="00390D21" w:rsidP="0046463C">
      <w:pPr>
        <w:spacing w:after="0"/>
        <w:rPr>
          <w:rFonts w:cs="Arial"/>
          <w:highlight w:val="yellow"/>
        </w:rPr>
      </w:pPr>
    </w:p>
    <w:p w:rsidR="0046463C" w:rsidRPr="0024318F" w:rsidRDefault="00390D21" w:rsidP="0046463C">
      <w:pPr>
        <w:spacing w:after="0"/>
        <w:rPr>
          <w:rFonts w:cs="Arial"/>
          <w:i/>
        </w:rPr>
      </w:pPr>
      <w:r w:rsidRPr="0024318F">
        <w:rPr>
          <w:rFonts w:cs="Arial"/>
          <w:b/>
          <w:i/>
        </w:rPr>
        <w:t>Capital Receipts</w:t>
      </w:r>
    </w:p>
    <w:p w:rsidR="0046463C" w:rsidRPr="0024318F" w:rsidRDefault="00390D21" w:rsidP="0046463C">
      <w:pPr>
        <w:tabs>
          <w:tab w:val="left" w:pos="567"/>
          <w:tab w:val="left" w:pos="1134"/>
        </w:tabs>
        <w:spacing w:after="0"/>
        <w:rPr>
          <w:rFonts w:cs="Arial"/>
        </w:rPr>
      </w:pPr>
      <w:r w:rsidRPr="0024318F">
        <w:t xml:space="preserve">In April 2016 the government introduced the </w:t>
      </w:r>
      <w:r w:rsidRPr="0024318F">
        <w:t>flexibility for capital receipts to be used to fund revenue expenditure that is designed to generate ongoing revenue savings or service improvements. This flexibility is currently available until 2021/22.</w:t>
      </w:r>
      <w:r w:rsidRPr="0024318F">
        <w:rPr>
          <w:rFonts w:cs="Arial"/>
        </w:rPr>
        <w:t xml:space="preserve"> </w:t>
      </w:r>
    </w:p>
    <w:p w:rsidR="0046463C" w:rsidRPr="0024318F" w:rsidRDefault="00390D21" w:rsidP="0046463C">
      <w:pPr>
        <w:tabs>
          <w:tab w:val="left" w:pos="567"/>
          <w:tab w:val="left" w:pos="1134"/>
        </w:tabs>
        <w:spacing w:after="0"/>
        <w:rPr>
          <w:rFonts w:cs="Arial"/>
        </w:rPr>
      </w:pPr>
    </w:p>
    <w:p w:rsidR="0046463C" w:rsidRPr="0024318F" w:rsidRDefault="00390D21" w:rsidP="0046463C">
      <w:pPr>
        <w:tabs>
          <w:tab w:val="left" w:pos="567"/>
          <w:tab w:val="left" w:pos="1134"/>
        </w:tabs>
        <w:spacing w:after="0"/>
        <w:rPr>
          <w:rFonts w:cs="Arial"/>
        </w:rPr>
      </w:pPr>
      <w:r w:rsidRPr="0024318F">
        <w:rPr>
          <w:rFonts w:cs="Arial"/>
        </w:rPr>
        <w:t>The MTFS includes £4.000m of capital receipts inc</w:t>
      </w:r>
      <w:r w:rsidRPr="0024318F">
        <w:rPr>
          <w:rFonts w:cs="Arial"/>
        </w:rPr>
        <w:t>ome in 2021/22. As part of the service challenge process additional resources were identified to support the transformation of services and delivery of the savings. The assumption within the MTFS is that capital receipts will be sufficient to meet these tr</w:t>
      </w:r>
      <w:r w:rsidRPr="0024318F">
        <w:rPr>
          <w:rFonts w:cs="Arial"/>
        </w:rPr>
        <w:t xml:space="preserve">ansformation costs in 2021/22 and therefore they will not be a draw on reserves or increase the funding gap. </w:t>
      </w:r>
    </w:p>
    <w:p w:rsidR="0046463C" w:rsidRDefault="00390D21" w:rsidP="0046463C">
      <w:pPr>
        <w:tabs>
          <w:tab w:val="left" w:pos="567"/>
          <w:tab w:val="left" w:pos="1134"/>
        </w:tabs>
        <w:spacing w:after="0"/>
        <w:rPr>
          <w:rFonts w:cs="Arial"/>
          <w:highlight w:val="yellow"/>
        </w:rPr>
      </w:pPr>
    </w:p>
    <w:p w:rsidR="0046463C" w:rsidRDefault="00390D21" w:rsidP="0046463C">
      <w:pPr>
        <w:tabs>
          <w:tab w:val="left" w:pos="567"/>
          <w:tab w:val="left" w:pos="1134"/>
        </w:tabs>
        <w:spacing w:after="0"/>
        <w:rPr>
          <w:rFonts w:cs="Arial"/>
          <w:highlight w:val="yellow"/>
        </w:rPr>
      </w:pPr>
    </w:p>
    <w:p w:rsidR="0046463C" w:rsidRDefault="00390D21" w:rsidP="0046463C">
      <w:pPr>
        <w:tabs>
          <w:tab w:val="left" w:pos="567"/>
          <w:tab w:val="left" w:pos="1134"/>
        </w:tabs>
        <w:spacing w:after="0"/>
        <w:rPr>
          <w:rFonts w:cs="Arial"/>
          <w:highlight w:val="yellow"/>
        </w:rPr>
      </w:pPr>
    </w:p>
    <w:p w:rsidR="0046463C" w:rsidRDefault="00390D21" w:rsidP="0046463C">
      <w:pPr>
        <w:tabs>
          <w:tab w:val="left" w:pos="567"/>
          <w:tab w:val="left" w:pos="1134"/>
        </w:tabs>
        <w:spacing w:after="0"/>
        <w:rPr>
          <w:rFonts w:cs="Arial"/>
          <w:highlight w:val="yellow"/>
        </w:rPr>
      </w:pPr>
    </w:p>
    <w:p w:rsidR="0046463C" w:rsidRDefault="00390D21" w:rsidP="0046463C">
      <w:pPr>
        <w:tabs>
          <w:tab w:val="left" w:pos="567"/>
          <w:tab w:val="left" w:pos="1134"/>
        </w:tabs>
        <w:spacing w:after="0"/>
        <w:rPr>
          <w:rFonts w:cs="Arial"/>
          <w:highlight w:val="yellow"/>
        </w:rPr>
      </w:pPr>
    </w:p>
    <w:p w:rsidR="0046463C" w:rsidRDefault="00390D21" w:rsidP="0046463C">
      <w:pPr>
        <w:tabs>
          <w:tab w:val="left" w:pos="567"/>
          <w:tab w:val="left" w:pos="1134"/>
        </w:tabs>
        <w:spacing w:after="0"/>
        <w:rPr>
          <w:rFonts w:cs="Arial"/>
          <w:highlight w:val="yellow"/>
        </w:rPr>
      </w:pPr>
    </w:p>
    <w:p w:rsidR="0046463C" w:rsidRDefault="00390D21" w:rsidP="0046463C">
      <w:pPr>
        <w:tabs>
          <w:tab w:val="left" w:pos="567"/>
          <w:tab w:val="left" w:pos="1134"/>
        </w:tabs>
        <w:spacing w:after="0"/>
        <w:rPr>
          <w:rFonts w:cs="Arial"/>
          <w:highlight w:val="yellow"/>
        </w:rPr>
      </w:pPr>
    </w:p>
    <w:p w:rsidR="0046463C" w:rsidRDefault="00390D21" w:rsidP="0046463C">
      <w:pPr>
        <w:tabs>
          <w:tab w:val="left" w:pos="567"/>
          <w:tab w:val="left" w:pos="1134"/>
        </w:tabs>
        <w:spacing w:after="0"/>
        <w:rPr>
          <w:rFonts w:cs="Arial"/>
          <w:highlight w:val="yellow"/>
        </w:rPr>
      </w:pPr>
    </w:p>
    <w:p w:rsidR="0046463C" w:rsidRDefault="00390D21" w:rsidP="0046463C">
      <w:pPr>
        <w:tabs>
          <w:tab w:val="left" w:pos="567"/>
          <w:tab w:val="left" w:pos="1134"/>
        </w:tabs>
        <w:spacing w:after="0"/>
        <w:rPr>
          <w:rFonts w:cs="Arial"/>
          <w:highlight w:val="yellow"/>
        </w:rPr>
      </w:pPr>
    </w:p>
    <w:p w:rsidR="0046463C" w:rsidRDefault="00390D21" w:rsidP="0046463C">
      <w:pPr>
        <w:tabs>
          <w:tab w:val="left" w:pos="567"/>
          <w:tab w:val="left" w:pos="1134"/>
        </w:tabs>
        <w:spacing w:after="0"/>
        <w:rPr>
          <w:rFonts w:cs="Arial"/>
          <w:highlight w:val="yellow"/>
        </w:rPr>
      </w:pPr>
    </w:p>
    <w:p w:rsidR="00725B52" w:rsidRPr="0049468E" w:rsidRDefault="00390D21" w:rsidP="0046463C">
      <w:pPr>
        <w:tabs>
          <w:tab w:val="left" w:pos="567"/>
          <w:tab w:val="left" w:pos="1134"/>
        </w:tabs>
        <w:spacing w:after="0"/>
        <w:rPr>
          <w:rFonts w:cs="Arial"/>
          <w:highlight w:val="yellow"/>
        </w:rPr>
      </w:pPr>
    </w:p>
    <w:p w:rsidR="0046463C" w:rsidRPr="00AD080C" w:rsidRDefault="00390D21" w:rsidP="0046463C">
      <w:pPr>
        <w:spacing w:after="0"/>
        <w:rPr>
          <w:rFonts w:cs="Arial"/>
          <w:b/>
        </w:rPr>
      </w:pPr>
      <w:r w:rsidRPr="00AD080C">
        <w:rPr>
          <w:rFonts w:cs="Arial"/>
          <w:b/>
        </w:rPr>
        <w:lastRenderedPageBreak/>
        <w:t xml:space="preserve">3. Net budget requirement </w:t>
      </w:r>
    </w:p>
    <w:p w:rsidR="0046463C" w:rsidRPr="00AD080C" w:rsidRDefault="00390D21" w:rsidP="0046463C">
      <w:pPr>
        <w:spacing w:after="0"/>
        <w:rPr>
          <w:rFonts w:cs="Arial"/>
          <w:b/>
        </w:rPr>
      </w:pPr>
    </w:p>
    <w:p w:rsidR="0046463C" w:rsidRPr="00AD080C" w:rsidRDefault="00390D21" w:rsidP="0046463C">
      <w:pPr>
        <w:tabs>
          <w:tab w:val="left" w:pos="567"/>
          <w:tab w:val="left" w:pos="1134"/>
        </w:tabs>
        <w:spacing w:after="0"/>
        <w:rPr>
          <w:rFonts w:cs="Arial"/>
        </w:rPr>
      </w:pPr>
      <w:r w:rsidRPr="00AD080C">
        <w:rPr>
          <w:rFonts w:cs="Arial"/>
        </w:rPr>
        <w:t xml:space="preserve">The MTFS covers spending pressures including pay increases, contractual inflation, increased demand for services and the impact of previously agreed and new savings measures. </w:t>
      </w:r>
    </w:p>
    <w:p w:rsidR="0046463C" w:rsidRPr="0049468E" w:rsidRDefault="00390D21" w:rsidP="0046463C">
      <w:pPr>
        <w:spacing w:after="0"/>
        <w:rPr>
          <w:rFonts w:cs="Arial"/>
          <w:highlight w:val="yellow"/>
        </w:rPr>
      </w:pPr>
    </w:p>
    <w:p w:rsidR="0046463C" w:rsidRPr="00AD080C" w:rsidRDefault="00390D21" w:rsidP="0046463C">
      <w:pPr>
        <w:spacing w:after="0"/>
        <w:rPr>
          <w:rFonts w:cs="Arial"/>
          <w:b/>
        </w:rPr>
      </w:pPr>
      <w:r w:rsidRPr="00AD080C">
        <w:rPr>
          <w:rFonts w:cs="Arial"/>
          <w:b/>
        </w:rPr>
        <w:t>3.1 Pay and pensions</w:t>
      </w:r>
    </w:p>
    <w:p w:rsidR="0046463C" w:rsidRDefault="00390D21" w:rsidP="0046463C">
      <w:pPr>
        <w:spacing w:after="0"/>
        <w:rPr>
          <w:rFonts w:cs="Arial"/>
        </w:rPr>
      </w:pPr>
      <w:r w:rsidRPr="00AD080C">
        <w:rPr>
          <w:rFonts w:cs="Arial"/>
        </w:rPr>
        <w:t xml:space="preserve">The MTFS at quarter 3 </w:t>
      </w:r>
      <w:r>
        <w:rPr>
          <w:rFonts w:cs="Arial"/>
        </w:rPr>
        <w:t xml:space="preserve">has not changed significantly and </w:t>
      </w:r>
      <w:r w:rsidRPr="00AD080C">
        <w:rPr>
          <w:rFonts w:cs="Arial"/>
        </w:rPr>
        <w:t>re</w:t>
      </w:r>
      <w:r w:rsidRPr="00AD080C">
        <w:rPr>
          <w:rFonts w:cs="Arial"/>
        </w:rPr>
        <w:t>flect</w:t>
      </w:r>
      <w:r>
        <w:rPr>
          <w:rFonts w:cs="Arial"/>
        </w:rPr>
        <w:t>s</w:t>
      </w:r>
      <w:r w:rsidRPr="00AD080C">
        <w:rPr>
          <w:rFonts w:cs="Arial"/>
        </w:rPr>
        <w:t xml:space="preserve"> the agreed pay settlement for 2020/21 of 2.75</w:t>
      </w:r>
      <w:r>
        <w:rPr>
          <w:rFonts w:cs="Arial"/>
        </w:rPr>
        <w:t xml:space="preserve">% and assumes a 2% increase in subsequent years. </w:t>
      </w:r>
      <w:r w:rsidRPr="00AD080C">
        <w:rPr>
          <w:rFonts w:cs="Arial"/>
        </w:rPr>
        <w:t xml:space="preserve"> </w:t>
      </w:r>
    </w:p>
    <w:p w:rsidR="0046463C" w:rsidRDefault="00390D21" w:rsidP="0046463C">
      <w:pPr>
        <w:spacing w:after="0"/>
        <w:rPr>
          <w:rFonts w:cs="Arial"/>
        </w:rPr>
      </w:pPr>
    </w:p>
    <w:p w:rsidR="0046463C" w:rsidRDefault="00390D21" w:rsidP="0046463C">
      <w:pPr>
        <w:spacing w:after="0"/>
        <w:rPr>
          <w:rFonts w:cs="Arial"/>
        </w:rPr>
      </w:pPr>
      <w:r>
        <w:rPr>
          <w:rFonts w:cs="Arial"/>
        </w:rPr>
        <w:t>As part of the Spending Review it was announced that funding for public sector pay would not be increased in 2021/22, however  the pay award will be det</w:t>
      </w:r>
      <w:r>
        <w:rPr>
          <w:rFonts w:cs="Arial"/>
        </w:rPr>
        <w:t xml:space="preserve">ermined following negotiations between the employer and trade union sides of the National Joint Council (NJC) for Local Government Services and a pay freeze has not been reflected at this stage. </w:t>
      </w:r>
    </w:p>
    <w:p w:rsidR="0046463C" w:rsidRDefault="00390D21" w:rsidP="0046463C">
      <w:pPr>
        <w:spacing w:after="0"/>
        <w:rPr>
          <w:rFonts w:cs="Arial"/>
        </w:rPr>
      </w:pPr>
    </w:p>
    <w:p w:rsidR="0046463C" w:rsidRPr="00AD080C" w:rsidRDefault="00390D21" w:rsidP="0046463C">
      <w:pPr>
        <w:spacing w:after="0"/>
        <w:rPr>
          <w:rFonts w:cs="Arial"/>
        </w:rPr>
      </w:pPr>
      <w:r>
        <w:rPr>
          <w:rFonts w:cs="Arial"/>
        </w:rPr>
        <w:t>The main change to the pay forecast relates to additional s</w:t>
      </w:r>
      <w:r>
        <w:rPr>
          <w:rFonts w:cs="Arial"/>
        </w:rPr>
        <w:t xml:space="preserve">taffing agreed across </w:t>
      </w:r>
      <w:r>
        <w:rPr>
          <w:rFonts w:cs="Arial"/>
        </w:rPr>
        <w:t>various services to respond to C</w:t>
      </w:r>
      <w:r>
        <w:rPr>
          <w:rFonts w:cs="Arial"/>
        </w:rPr>
        <w:t>ovid-19 where only the first quarter of the year will be funded by additional grant from MHCLG. As these costs are generally fixed term for 12 – 24 months the costs drop out in later years across the MT</w:t>
      </w:r>
      <w:r>
        <w:rPr>
          <w:rFonts w:cs="Arial"/>
        </w:rPr>
        <w:t xml:space="preserve">FS. </w:t>
      </w:r>
    </w:p>
    <w:p w:rsidR="0046463C" w:rsidRPr="00AD080C" w:rsidRDefault="00390D21" w:rsidP="0046463C">
      <w:pPr>
        <w:spacing w:after="0"/>
        <w:rPr>
          <w:rFonts w:eastAsiaTheme="minorHAnsi" w:cs="Arial"/>
          <w:color w:val="auto"/>
        </w:rPr>
      </w:pPr>
    </w:p>
    <w:p w:rsidR="0046463C" w:rsidRPr="00B03828" w:rsidRDefault="00390D21" w:rsidP="0046463C">
      <w:pPr>
        <w:spacing w:after="0"/>
        <w:rPr>
          <w:rFonts w:cs="Arial"/>
        </w:rPr>
      </w:pPr>
      <w:r w:rsidRPr="00AD080C">
        <w:rPr>
          <w:rFonts w:cs="Arial"/>
        </w:rPr>
        <w:t>The table below presents the amounts built into the MTFS for pay and pensions:</w:t>
      </w:r>
    </w:p>
    <w:p w:rsidR="0046463C" w:rsidRPr="00E95F45" w:rsidRDefault="00390D21">
      <w:pPr>
        <w:spacing w:after="0"/>
        <w:rPr>
          <w:rFonts w:cs="Arial"/>
          <w:b/>
          <w:i/>
          <w:highlight w:val="yellow"/>
          <w:u w:val="single"/>
        </w:rPr>
      </w:pPr>
    </w:p>
    <w:p w:rsidR="0046463C" w:rsidRPr="00C44644" w:rsidRDefault="00390D21" w:rsidP="0046463C">
      <w:pPr>
        <w:spacing w:after="0"/>
        <w:rPr>
          <w:rFonts w:cs="Arial"/>
          <w:b/>
          <w:i/>
          <w:u w:val="single"/>
        </w:rPr>
      </w:pPr>
      <w:r w:rsidRPr="00C44644">
        <w:rPr>
          <w:rFonts w:cs="Arial"/>
          <w:b/>
          <w:i/>
          <w:u w:val="single"/>
        </w:rPr>
        <w:t>Table 4</w:t>
      </w:r>
    </w:p>
    <w:p w:rsidR="0046463C" w:rsidRPr="00C44644" w:rsidRDefault="00390D21" w:rsidP="0046463C">
      <w:pPr>
        <w:spacing w:after="0"/>
        <w:rPr>
          <w:rFonts w:cs="Arial"/>
          <w:b/>
        </w:rPr>
      </w:pPr>
    </w:p>
    <w:tbl>
      <w:tblPr>
        <w:tblW w:w="8200" w:type="dxa"/>
        <w:tblInd w:w="-10" w:type="dxa"/>
        <w:tblLook w:val="04A0" w:firstRow="1" w:lastRow="0" w:firstColumn="1" w:lastColumn="0" w:noHBand="0" w:noVBand="1"/>
      </w:tblPr>
      <w:tblGrid>
        <w:gridCol w:w="3048"/>
        <w:gridCol w:w="1276"/>
        <w:gridCol w:w="1276"/>
        <w:gridCol w:w="1276"/>
        <w:gridCol w:w="1324"/>
      </w:tblGrid>
      <w:tr w:rsidR="00C3717D" w:rsidTr="0046463C">
        <w:trPr>
          <w:trHeight w:val="310"/>
        </w:trPr>
        <w:tc>
          <w:tcPr>
            <w:tcW w:w="304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46463C" w:rsidRPr="00C44644" w:rsidRDefault="00390D21" w:rsidP="0046463C">
            <w:pPr>
              <w:autoSpaceDE/>
              <w:autoSpaceDN/>
              <w:adjustRightInd/>
              <w:spacing w:after="0"/>
              <w:rPr>
                <w:rFonts w:eastAsia="Times New Roman" w:cs="Arial"/>
                <w:lang w:eastAsia="en-GB"/>
              </w:rPr>
            </w:pPr>
            <w:r w:rsidRPr="00C44644">
              <w:rPr>
                <w:rFonts w:eastAsia="Times New Roman" w:cs="Arial"/>
                <w:lang w:eastAsia="en-GB"/>
              </w:rPr>
              <w:t> </w:t>
            </w:r>
          </w:p>
        </w:tc>
        <w:tc>
          <w:tcPr>
            <w:tcW w:w="1276" w:type="dxa"/>
            <w:tcBorders>
              <w:top w:val="single" w:sz="8" w:space="0" w:color="auto"/>
              <w:left w:val="nil"/>
              <w:bottom w:val="nil"/>
              <w:right w:val="single" w:sz="8" w:space="0" w:color="auto"/>
            </w:tcBorders>
            <w:shd w:val="clear" w:color="000000" w:fill="BFBFBF"/>
            <w:vAlign w:val="center"/>
            <w:hideMark/>
          </w:tcPr>
          <w:p w:rsidR="0046463C" w:rsidRPr="00C44644" w:rsidRDefault="00390D21" w:rsidP="0046463C">
            <w:pPr>
              <w:autoSpaceDE/>
              <w:autoSpaceDN/>
              <w:adjustRightInd/>
              <w:spacing w:after="0"/>
              <w:jc w:val="center"/>
              <w:rPr>
                <w:rFonts w:eastAsia="Times New Roman" w:cs="Arial"/>
                <w:b/>
                <w:bCs/>
                <w:lang w:eastAsia="en-GB"/>
              </w:rPr>
            </w:pPr>
            <w:r w:rsidRPr="00C44644">
              <w:rPr>
                <w:rFonts w:eastAsia="Times New Roman" w:cs="Arial"/>
                <w:b/>
                <w:bCs/>
                <w:lang w:eastAsia="en-GB"/>
              </w:rPr>
              <w:t>2021/22</w:t>
            </w:r>
          </w:p>
        </w:tc>
        <w:tc>
          <w:tcPr>
            <w:tcW w:w="1276" w:type="dxa"/>
            <w:tcBorders>
              <w:top w:val="single" w:sz="8" w:space="0" w:color="auto"/>
              <w:left w:val="nil"/>
              <w:bottom w:val="nil"/>
              <w:right w:val="single" w:sz="8" w:space="0" w:color="auto"/>
            </w:tcBorders>
            <w:shd w:val="clear" w:color="000000" w:fill="BFBFBF"/>
            <w:vAlign w:val="center"/>
            <w:hideMark/>
          </w:tcPr>
          <w:p w:rsidR="0046463C" w:rsidRPr="00C44644" w:rsidRDefault="00390D21" w:rsidP="0046463C">
            <w:pPr>
              <w:autoSpaceDE/>
              <w:autoSpaceDN/>
              <w:adjustRightInd/>
              <w:spacing w:after="0"/>
              <w:jc w:val="center"/>
              <w:rPr>
                <w:rFonts w:eastAsia="Times New Roman" w:cs="Arial"/>
                <w:b/>
                <w:bCs/>
                <w:lang w:eastAsia="en-GB"/>
              </w:rPr>
            </w:pPr>
            <w:r w:rsidRPr="00C44644">
              <w:rPr>
                <w:rFonts w:eastAsia="Times New Roman" w:cs="Arial"/>
                <w:b/>
                <w:bCs/>
                <w:lang w:eastAsia="en-GB"/>
              </w:rPr>
              <w:t>2022/23</w:t>
            </w:r>
          </w:p>
        </w:tc>
        <w:tc>
          <w:tcPr>
            <w:tcW w:w="1276" w:type="dxa"/>
            <w:tcBorders>
              <w:top w:val="single" w:sz="8" w:space="0" w:color="auto"/>
              <w:left w:val="nil"/>
              <w:bottom w:val="nil"/>
              <w:right w:val="single" w:sz="8" w:space="0" w:color="auto"/>
            </w:tcBorders>
            <w:shd w:val="clear" w:color="000000" w:fill="BFBFBF"/>
            <w:vAlign w:val="center"/>
            <w:hideMark/>
          </w:tcPr>
          <w:p w:rsidR="0046463C" w:rsidRPr="00C44644" w:rsidRDefault="00390D21" w:rsidP="0046463C">
            <w:pPr>
              <w:autoSpaceDE/>
              <w:autoSpaceDN/>
              <w:adjustRightInd/>
              <w:spacing w:after="0"/>
              <w:jc w:val="center"/>
              <w:rPr>
                <w:rFonts w:eastAsia="Times New Roman" w:cs="Arial"/>
                <w:b/>
                <w:bCs/>
                <w:lang w:eastAsia="en-GB"/>
              </w:rPr>
            </w:pPr>
            <w:r w:rsidRPr="00C44644">
              <w:rPr>
                <w:rFonts w:eastAsia="Times New Roman" w:cs="Arial"/>
                <w:b/>
                <w:bCs/>
                <w:lang w:eastAsia="en-GB"/>
              </w:rPr>
              <w:t>2023/24</w:t>
            </w:r>
          </w:p>
        </w:tc>
        <w:tc>
          <w:tcPr>
            <w:tcW w:w="1324" w:type="dxa"/>
            <w:tcBorders>
              <w:top w:val="single" w:sz="8" w:space="0" w:color="auto"/>
              <w:left w:val="nil"/>
              <w:bottom w:val="nil"/>
              <w:right w:val="single" w:sz="8" w:space="0" w:color="auto"/>
            </w:tcBorders>
            <w:shd w:val="clear" w:color="000000" w:fill="BFBFBF"/>
            <w:vAlign w:val="center"/>
            <w:hideMark/>
          </w:tcPr>
          <w:p w:rsidR="0046463C" w:rsidRPr="00C44644" w:rsidRDefault="00390D21" w:rsidP="0046463C">
            <w:pPr>
              <w:autoSpaceDE/>
              <w:autoSpaceDN/>
              <w:adjustRightInd/>
              <w:spacing w:after="0"/>
              <w:jc w:val="center"/>
              <w:rPr>
                <w:rFonts w:eastAsia="Times New Roman" w:cs="Arial"/>
                <w:b/>
                <w:bCs/>
                <w:lang w:eastAsia="en-GB"/>
              </w:rPr>
            </w:pPr>
            <w:r w:rsidRPr="00C44644">
              <w:rPr>
                <w:rFonts w:eastAsia="Times New Roman" w:cs="Arial"/>
                <w:b/>
                <w:bCs/>
                <w:lang w:eastAsia="en-GB"/>
              </w:rPr>
              <w:t>Total</w:t>
            </w:r>
          </w:p>
        </w:tc>
      </w:tr>
      <w:tr w:rsidR="00C3717D" w:rsidTr="0046463C">
        <w:trPr>
          <w:trHeight w:val="320"/>
        </w:trPr>
        <w:tc>
          <w:tcPr>
            <w:tcW w:w="3048" w:type="dxa"/>
            <w:vMerge/>
            <w:tcBorders>
              <w:top w:val="single" w:sz="8" w:space="0" w:color="auto"/>
              <w:left w:val="single" w:sz="8" w:space="0" w:color="auto"/>
              <w:bottom w:val="single" w:sz="8" w:space="0" w:color="000000"/>
              <w:right w:val="single" w:sz="8" w:space="0" w:color="auto"/>
            </w:tcBorders>
            <w:vAlign w:val="center"/>
            <w:hideMark/>
          </w:tcPr>
          <w:p w:rsidR="0046463C" w:rsidRPr="00C44644" w:rsidRDefault="00390D21" w:rsidP="0046463C">
            <w:pPr>
              <w:autoSpaceDE/>
              <w:autoSpaceDN/>
              <w:adjustRightInd/>
              <w:spacing w:after="0"/>
              <w:jc w:val="left"/>
              <w:rPr>
                <w:rFonts w:eastAsia="Times New Roman" w:cs="Arial"/>
                <w:lang w:eastAsia="en-GB"/>
              </w:rPr>
            </w:pPr>
          </w:p>
        </w:tc>
        <w:tc>
          <w:tcPr>
            <w:tcW w:w="1276" w:type="dxa"/>
            <w:tcBorders>
              <w:top w:val="nil"/>
              <w:left w:val="nil"/>
              <w:bottom w:val="single" w:sz="8" w:space="0" w:color="auto"/>
              <w:right w:val="single" w:sz="8" w:space="0" w:color="auto"/>
            </w:tcBorders>
            <w:shd w:val="clear" w:color="000000" w:fill="BFBFBF"/>
            <w:vAlign w:val="center"/>
            <w:hideMark/>
          </w:tcPr>
          <w:p w:rsidR="0046463C" w:rsidRPr="00C44644" w:rsidRDefault="00390D21" w:rsidP="0046463C">
            <w:pPr>
              <w:autoSpaceDE/>
              <w:autoSpaceDN/>
              <w:adjustRightInd/>
              <w:spacing w:after="0"/>
              <w:jc w:val="center"/>
              <w:rPr>
                <w:rFonts w:eastAsia="Times New Roman" w:cs="Arial"/>
                <w:b/>
                <w:bCs/>
                <w:lang w:eastAsia="en-GB"/>
              </w:rPr>
            </w:pPr>
            <w:r w:rsidRPr="00C44644">
              <w:rPr>
                <w:rFonts w:eastAsia="Times New Roman" w:cs="Arial"/>
                <w:b/>
                <w:bCs/>
                <w:lang w:eastAsia="en-GB"/>
              </w:rPr>
              <w:t>£m</w:t>
            </w:r>
          </w:p>
        </w:tc>
        <w:tc>
          <w:tcPr>
            <w:tcW w:w="1276" w:type="dxa"/>
            <w:tcBorders>
              <w:top w:val="nil"/>
              <w:left w:val="nil"/>
              <w:bottom w:val="single" w:sz="8" w:space="0" w:color="auto"/>
              <w:right w:val="single" w:sz="8" w:space="0" w:color="auto"/>
            </w:tcBorders>
            <w:shd w:val="clear" w:color="000000" w:fill="BFBFBF"/>
            <w:vAlign w:val="center"/>
            <w:hideMark/>
          </w:tcPr>
          <w:p w:rsidR="0046463C" w:rsidRPr="00C44644" w:rsidRDefault="00390D21" w:rsidP="0046463C">
            <w:pPr>
              <w:autoSpaceDE/>
              <w:autoSpaceDN/>
              <w:adjustRightInd/>
              <w:spacing w:after="0"/>
              <w:jc w:val="center"/>
              <w:rPr>
                <w:rFonts w:eastAsia="Times New Roman" w:cs="Arial"/>
                <w:b/>
                <w:bCs/>
                <w:lang w:eastAsia="en-GB"/>
              </w:rPr>
            </w:pPr>
            <w:r w:rsidRPr="00C44644">
              <w:rPr>
                <w:rFonts w:eastAsia="Times New Roman" w:cs="Arial"/>
                <w:b/>
                <w:bCs/>
                <w:lang w:eastAsia="en-GB"/>
              </w:rPr>
              <w:t>£m</w:t>
            </w:r>
          </w:p>
        </w:tc>
        <w:tc>
          <w:tcPr>
            <w:tcW w:w="1276" w:type="dxa"/>
            <w:tcBorders>
              <w:top w:val="nil"/>
              <w:left w:val="nil"/>
              <w:bottom w:val="single" w:sz="8" w:space="0" w:color="auto"/>
              <w:right w:val="single" w:sz="8" w:space="0" w:color="auto"/>
            </w:tcBorders>
            <w:shd w:val="clear" w:color="000000" w:fill="BFBFBF"/>
            <w:vAlign w:val="center"/>
            <w:hideMark/>
          </w:tcPr>
          <w:p w:rsidR="0046463C" w:rsidRPr="00C44644" w:rsidRDefault="00390D21" w:rsidP="0046463C">
            <w:pPr>
              <w:autoSpaceDE/>
              <w:autoSpaceDN/>
              <w:adjustRightInd/>
              <w:spacing w:after="0"/>
              <w:jc w:val="center"/>
              <w:rPr>
                <w:rFonts w:eastAsia="Times New Roman" w:cs="Arial"/>
                <w:b/>
                <w:bCs/>
                <w:lang w:eastAsia="en-GB"/>
              </w:rPr>
            </w:pPr>
            <w:r w:rsidRPr="00C44644">
              <w:rPr>
                <w:rFonts w:eastAsia="Times New Roman" w:cs="Arial"/>
                <w:b/>
                <w:bCs/>
                <w:lang w:eastAsia="en-GB"/>
              </w:rPr>
              <w:t>£m</w:t>
            </w:r>
          </w:p>
        </w:tc>
        <w:tc>
          <w:tcPr>
            <w:tcW w:w="1324" w:type="dxa"/>
            <w:tcBorders>
              <w:top w:val="nil"/>
              <w:left w:val="nil"/>
              <w:bottom w:val="single" w:sz="8" w:space="0" w:color="auto"/>
              <w:right w:val="single" w:sz="8" w:space="0" w:color="auto"/>
            </w:tcBorders>
            <w:shd w:val="clear" w:color="000000" w:fill="BFBFBF"/>
            <w:vAlign w:val="center"/>
            <w:hideMark/>
          </w:tcPr>
          <w:p w:rsidR="0046463C" w:rsidRPr="00C44644" w:rsidRDefault="00390D21" w:rsidP="0046463C">
            <w:pPr>
              <w:autoSpaceDE/>
              <w:autoSpaceDN/>
              <w:adjustRightInd/>
              <w:spacing w:after="0"/>
              <w:jc w:val="center"/>
              <w:rPr>
                <w:rFonts w:eastAsia="Times New Roman" w:cs="Arial"/>
                <w:b/>
                <w:bCs/>
                <w:lang w:eastAsia="en-GB"/>
              </w:rPr>
            </w:pPr>
            <w:r w:rsidRPr="00C44644">
              <w:rPr>
                <w:rFonts w:eastAsia="Times New Roman" w:cs="Arial"/>
                <w:b/>
                <w:bCs/>
                <w:lang w:eastAsia="en-GB"/>
              </w:rPr>
              <w:t>£m</w:t>
            </w:r>
          </w:p>
        </w:tc>
      </w:tr>
      <w:tr w:rsidR="00C3717D" w:rsidTr="0046463C">
        <w:trPr>
          <w:trHeight w:val="580"/>
        </w:trPr>
        <w:tc>
          <w:tcPr>
            <w:tcW w:w="3048" w:type="dxa"/>
            <w:tcBorders>
              <w:top w:val="nil"/>
              <w:left w:val="single" w:sz="8" w:space="0" w:color="auto"/>
              <w:bottom w:val="single" w:sz="8" w:space="0" w:color="auto"/>
              <w:right w:val="single" w:sz="8" w:space="0" w:color="auto"/>
            </w:tcBorders>
            <w:shd w:val="clear" w:color="auto" w:fill="auto"/>
            <w:vAlign w:val="center"/>
            <w:hideMark/>
          </w:tcPr>
          <w:p w:rsidR="0046463C" w:rsidRPr="00C44644" w:rsidRDefault="00390D21" w:rsidP="0046463C">
            <w:pPr>
              <w:autoSpaceDE/>
              <w:autoSpaceDN/>
              <w:adjustRightInd/>
              <w:spacing w:after="0"/>
              <w:jc w:val="left"/>
              <w:rPr>
                <w:rFonts w:eastAsia="Times New Roman" w:cs="Arial"/>
                <w:lang w:eastAsia="en-GB"/>
              </w:rPr>
            </w:pPr>
            <w:r w:rsidRPr="00C44644">
              <w:rPr>
                <w:rFonts w:eastAsia="Times New Roman" w:cs="Arial"/>
                <w:lang w:eastAsia="en-GB"/>
              </w:rPr>
              <w:t>Employee costs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463C" w:rsidRPr="00904F8C" w:rsidRDefault="00390D21" w:rsidP="0046463C">
            <w:pPr>
              <w:autoSpaceDE/>
              <w:autoSpaceDN/>
              <w:adjustRightInd/>
              <w:spacing w:after="0"/>
              <w:jc w:val="right"/>
              <w:rPr>
                <w:rFonts w:eastAsia="Times New Roman" w:cs="Arial"/>
                <w:lang w:eastAsia="en-GB"/>
              </w:rPr>
            </w:pPr>
            <w:r w:rsidRPr="00904F8C">
              <w:rPr>
                <w:rFonts w:cs="Arial"/>
              </w:rPr>
              <w:t>13.057</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63C" w:rsidRPr="00904F8C" w:rsidRDefault="00390D21" w:rsidP="0046463C">
            <w:pPr>
              <w:autoSpaceDE/>
              <w:autoSpaceDN/>
              <w:adjustRightInd/>
              <w:spacing w:after="0"/>
              <w:jc w:val="right"/>
              <w:rPr>
                <w:rFonts w:eastAsia="Times New Roman" w:cs="Arial"/>
                <w:lang w:eastAsia="en-GB"/>
              </w:rPr>
            </w:pPr>
            <w:r w:rsidRPr="00904F8C">
              <w:rPr>
                <w:rFonts w:cs="Arial"/>
              </w:rPr>
              <w:t>6.289</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63C" w:rsidRPr="00904F8C" w:rsidRDefault="00390D21" w:rsidP="0046463C">
            <w:pPr>
              <w:autoSpaceDE/>
              <w:autoSpaceDN/>
              <w:adjustRightInd/>
              <w:spacing w:after="0"/>
              <w:jc w:val="right"/>
              <w:rPr>
                <w:rFonts w:eastAsia="Times New Roman" w:cs="Arial"/>
                <w:lang w:eastAsia="en-GB"/>
              </w:rPr>
            </w:pPr>
            <w:r w:rsidRPr="00904F8C">
              <w:rPr>
                <w:rFonts w:cs="Arial"/>
              </w:rPr>
              <w:t>6.914</w:t>
            </w:r>
          </w:p>
        </w:tc>
        <w:tc>
          <w:tcPr>
            <w:tcW w:w="1324" w:type="dxa"/>
            <w:tcBorders>
              <w:top w:val="nil"/>
              <w:left w:val="nil"/>
              <w:bottom w:val="single" w:sz="8" w:space="0" w:color="auto"/>
              <w:right w:val="single" w:sz="8" w:space="0" w:color="auto"/>
            </w:tcBorders>
            <w:shd w:val="clear" w:color="auto" w:fill="auto"/>
            <w:vAlign w:val="center"/>
          </w:tcPr>
          <w:p w:rsidR="0046463C" w:rsidRPr="00904F8C" w:rsidRDefault="00390D21" w:rsidP="0046463C">
            <w:pPr>
              <w:autoSpaceDE/>
              <w:autoSpaceDN/>
              <w:adjustRightInd/>
              <w:spacing w:after="0"/>
              <w:jc w:val="right"/>
              <w:rPr>
                <w:rFonts w:eastAsia="Times New Roman" w:cs="Arial"/>
                <w:b/>
                <w:bCs/>
                <w:lang w:eastAsia="en-GB"/>
              </w:rPr>
            </w:pPr>
            <w:r>
              <w:rPr>
                <w:rFonts w:eastAsia="Times New Roman" w:cs="Arial"/>
                <w:b/>
                <w:bCs/>
                <w:lang w:eastAsia="en-GB"/>
              </w:rPr>
              <w:t>26.260</w:t>
            </w:r>
          </w:p>
        </w:tc>
      </w:tr>
      <w:tr w:rsidR="00C3717D" w:rsidTr="0046463C">
        <w:trPr>
          <w:trHeight w:val="580"/>
        </w:trPr>
        <w:tc>
          <w:tcPr>
            <w:tcW w:w="3048" w:type="dxa"/>
            <w:tcBorders>
              <w:top w:val="nil"/>
              <w:left w:val="single" w:sz="8" w:space="0" w:color="auto"/>
              <w:bottom w:val="single" w:sz="8" w:space="0" w:color="auto"/>
              <w:right w:val="single" w:sz="8" w:space="0" w:color="auto"/>
            </w:tcBorders>
            <w:shd w:val="clear" w:color="auto" w:fill="auto"/>
            <w:vAlign w:val="center"/>
            <w:hideMark/>
          </w:tcPr>
          <w:p w:rsidR="0046463C" w:rsidRPr="00C44644" w:rsidRDefault="00390D21" w:rsidP="0046463C">
            <w:pPr>
              <w:autoSpaceDE/>
              <w:autoSpaceDN/>
              <w:adjustRightInd/>
              <w:spacing w:after="0"/>
              <w:jc w:val="left"/>
              <w:rPr>
                <w:rFonts w:eastAsia="Times New Roman" w:cs="Arial"/>
                <w:lang w:eastAsia="en-GB"/>
              </w:rPr>
            </w:pPr>
            <w:r w:rsidRPr="00C44644">
              <w:rPr>
                <w:rFonts w:eastAsia="Times New Roman" w:cs="Arial"/>
                <w:lang w:eastAsia="en-GB"/>
              </w:rPr>
              <w:t>Pensions costs</w:t>
            </w:r>
          </w:p>
        </w:tc>
        <w:tc>
          <w:tcPr>
            <w:tcW w:w="1276" w:type="dxa"/>
            <w:tcBorders>
              <w:top w:val="nil"/>
              <w:left w:val="single" w:sz="4" w:space="0" w:color="auto"/>
              <w:bottom w:val="single" w:sz="4" w:space="0" w:color="auto"/>
              <w:right w:val="single" w:sz="4" w:space="0" w:color="auto"/>
            </w:tcBorders>
            <w:shd w:val="clear" w:color="auto" w:fill="auto"/>
            <w:vAlign w:val="center"/>
          </w:tcPr>
          <w:p w:rsidR="0046463C" w:rsidRPr="00904F8C" w:rsidRDefault="00390D21" w:rsidP="0046463C">
            <w:pPr>
              <w:autoSpaceDE/>
              <w:autoSpaceDN/>
              <w:adjustRightInd/>
              <w:spacing w:after="0"/>
              <w:jc w:val="right"/>
              <w:rPr>
                <w:rFonts w:eastAsia="Times New Roman" w:cs="Arial"/>
                <w:lang w:eastAsia="en-GB"/>
              </w:rPr>
            </w:pPr>
            <w:r w:rsidRPr="00904F8C">
              <w:rPr>
                <w:rFonts w:cs="Arial"/>
              </w:rPr>
              <w:t>1.144</w:t>
            </w:r>
          </w:p>
        </w:tc>
        <w:tc>
          <w:tcPr>
            <w:tcW w:w="1276" w:type="dxa"/>
            <w:tcBorders>
              <w:top w:val="nil"/>
              <w:left w:val="nil"/>
              <w:bottom w:val="single" w:sz="4" w:space="0" w:color="auto"/>
              <w:right w:val="single" w:sz="4" w:space="0" w:color="auto"/>
            </w:tcBorders>
            <w:shd w:val="clear" w:color="auto" w:fill="auto"/>
            <w:vAlign w:val="center"/>
          </w:tcPr>
          <w:p w:rsidR="0046463C" w:rsidRPr="00904F8C" w:rsidRDefault="00390D21" w:rsidP="0046463C">
            <w:pPr>
              <w:autoSpaceDE/>
              <w:autoSpaceDN/>
              <w:adjustRightInd/>
              <w:spacing w:after="0"/>
              <w:jc w:val="right"/>
              <w:rPr>
                <w:rFonts w:eastAsia="Times New Roman" w:cs="Arial"/>
                <w:lang w:eastAsia="en-GB"/>
              </w:rPr>
            </w:pPr>
            <w:r w:rsidRPr="00904F8C">
              <w:rPr>
                <w:rFonts w:cs="Arial"/>
              </w:rPr>
              <w:t>1.060</w:t>
            </w:r>
          </w:p>
        </w:tc>
        <w:tc>
          <w:tcPr>
            <w:tcW w:w="1276" w:type="dxa"/>
            <w:tcBorders>
              <w:top w:val="nil"/>
              <w:left w:val="nil"/>
              <w:bottom w:val="single" w:sz="4" w:space="0" w:color="auto"/>
              <w:right w:val="single" w:sz="4" w:space="0" w:color="auto"/>
            </w:tcBorders>
            <w:shd w:val="clear" w:color="auto" w:fill="auto"/>
            <w:vAlign w:val="center"/>
          </w:tcPr>
          <w:p w:rsidR="0046463C" w:rsidRPr="00904F8C" w:rsidRDefault="00390D21" w:rsidP="0046463C">
            <w:pPr>
              <w:autoSpaceDE/>
              <w:autoSpaceDN/>
              <w:adjustRightInd/>
              <w:spacing w:after="0"/>
              <w:jc w:val="right"/>
              <w:rPr>
                <w:rFonts w:eastAsia="Times New Roman" w:cs="Arial"/>
                <w:lang w:eastAsia="en-GB"/>
              </w:rPr>
            </w:pPr>
            <w:r w:rsidRPr="00904F8C">
              <w:rPr>
                <w:rFonts w:cs="Arial"/>
              </w:rPr>
              <w:t>0.000</w:t>
            </w:r>
          </w:p>
        </w:tc>
        <w:tc>
          <w:tcPr>
            <w:tcW w:w="1324" w:type="dxa"/>
            <w:tcBorders>
              <w:top w:val="nil"/>
              <w:left w:val="nil"/>
              <w:bottom w:val="single" w:sz="8" w:space="0" w:color="auto"/>
              <w:right w:val="single" w:sz="8" w:space="0" w:color="auto"/>
            </w:tcBorders>
            <w:shd w:val="clear" w:color="auto" w:fill="auto"/>
            <w:vAlign w:val="center"/>
          </w:tcPr>
          <w:p w:rsidR="0046463C" w:rsidRPr="00904F8C" w:rsidRDefault="00390D21" w:rsidP="0046463C">
            <w:pPr>
              <w:autoSpaceDE/>
              <w:autoSpaceDN/>
              <w:adjustRightInd/>
              <w:spacing w:after="0"/>
              <w:jc w:val="right"/>
              <w:rPr>
                <w:rFonts w:eastAsia="Times New Roman" w:cs="Arial"/>
                <w:b/>
                <w:bCs/>
                <w:lang w:eastAsia="en-GB"/>
              </w:rPr>
            </w:pPr>
            <w:r>
              <w:rPr>
                <w:rFonts w:eastAsia="Times New Roman" w:cs="Arial"/>
                <w:b/>
                <w:bCs/>
                <w:lang w:eastAsia="en-GB"/>
              </w:rPr>
              <w:t>2.204</w:t>
            </w:r>
          </w:p>
        </w:tc>
      </w:tr>
      <w:tr w:rsidR="00C3717D" w:rsidTr="0046463C">
        <w:trPr>
          <w:trHeight w:val="580"/>
        </w:trPr>
        <w:tc>
          <w:tcPr>
            <w:tcW w:w="3048" w:type="dxa"/>
            <w:tcBorders>
              <w:top w:val="nil"/>
              <w:left w:val="single" w:sz="8" w:space="0" w:color="auto"/>
              <w:bottom w:val="single" w:sz="8" w:space="0" w:color="auto"/>
              <w:right w:val="single" w:sz="8" w:space="0" w:color="auto"/>
            </w:tcBorders>
            <w:shd w:val="clear" w:color="auto" w:fill="auto"/>
            <w:vAlign w:val="center"/>
            <w:hideMark/>
          </w:tcPr>
          <w:p w:rsidR="0046463C" w:rsidRPr="00C44644" w:rsidRDefault="00390D21" w:rsidP="0046463C">
            <w:pPr>
              <w:autoSpaceDE/>
              <w:autoSpaceDN/>
              <w:adjustRightInd/>
              <w:spacing w:after="0"/>
              <w:jc w:val="left"/>
              <w:rPr>
                <w:rFonts w:eastAsia="Times New Roman" w:cs="Arial"/>
                <w:lang w:eastAsia="en-GB"/>
              </w:rPr>
            </w:pPr>
            <w:r w:rsidRPr="00C44644">
              <w:rPr>
                <w:rFonts w:eastAsia="Times New Roman" w:cs="Arial"/>
                <w:lang w:eastAsia="en-GB"/>
              </w:rPr>
              <w:t>Other pay related costs</w:t>
            </w:r>
          </w:p>
        </w:tc>
        <w:tc>
          <w:tcPr>
            <w:tcW w:w="1276" w:type="dxa"/>
            <w:tcBorders>
              <w:top w:val="nil"/>
              <w:left w:val="single" w:sz="4" w:space="0" w:color="auto"/>
              <w:bottom w:val="single" w:sz="4" w:space="0" w:color="auto"/>
              <w:right w:val="single" w:sz="4" w:space="0" w:color="auto"/>
            </w:tcBorders>
            <w:shd w:val="clear" w:color="auto" w:fill="auto"/>
            <w:vAlign w:val="center"/>
          </w:tcPr>
          <w:p w:rsidR="0046463C" w:rsidRPr="00904F8C" w:rsidRDefault="00390D21" w:rsidP="0046463C">
            <w:pPr>
              <w:autoSpaceDE/>
              <w:autoSpaceDN/>
              <w:adjustRightInd/>
              <w:spacing w:after="0"/>
              <w:jc w:val="right"/>
              <w:rPr>
                <w:rFonts w:eastAsia="Times New Roman" w:cs="Arial"/>
                <w:lang w:eastAsia="en-GB"/>
              </w:rPr>
            </w:pPr>
            <w:r w:rsidRPr="00904F8C">
              <w:rPr>
                <w:rFonts w:cs="Arial"/>
              </w:rPr>
              <w:t>0.200</w:t>
            </w:r>
          </w:p>
        </w:tc>
        <w:tc>
          <w:tcPr>
            <w:tcW w:w="1276" w:type="dxa"/>
            <w:tcBorders>
              <w:top w:val="nil"/>
              <w:left w:val="nil"/>
              <w:bottom w:val="single" w:sz="4" w:space="0" w:color="auto"/>
              <w:right w:val="single" w:sz="4" w:space="0" w:color="auto"/>
            </w:tcBorders>
            <w:shd w:val="clear" w:color="auto" w:fill="auto"/>
            <w:vAlign w:val="center"/>
          </w:tcPr>
          <w:p w:rsidR="0046463C" w:rsidRPr="00904F8C" w:rsidRDefault="00390D21" w:rsidP="0046463C">
            <w:pPr>
              <w:autoSpaceDE/>
              <w:autoSpaceDN/>
              <w:adjustRightInd/>
              <w:spacing w:after="0"/>
              <w:jc w:val="right"/>
              <w:rPr>
                <w:rFonts w:eastAsia="Times New Roman" w:cs="Arial"/>
                <w:lang w:eastAsia="en-GB"/>
              </w:rPr>
            </w:pPr>
            <w:r w:rsidRPr="00904F8C">
              <w:rPr>
                <w:rFonts w:cs="Arial"/>
              </w:rPr>
              <w:t>0.038</w:t>
            </w:r>
          </w:p>
        </w:tc>
        <w:tc>
          <w:tcPr>
            <w:tcW w:w="1276" w:type="dxa"/>
            <w:tcBorders>
              <w:top w:val="nil"/>
              <w:left w:val="nil"/>
              <w:bottom w:val="single" w:sz="4" w:space="0" w:color="auto"/>
              <w:right w:val="single" w:sz="4" w:space="0" w:color="auto"/>
            </w:tcBorders>
            <w:shd w:val="clear" w:color="auto" w:fill="auto"/>
            <w:vAlign w:val="center"/>
          </w:tcPr>
          <w:p w:rsidR="0046463C" w:rsidRPr="00904F8C" w:rsidRDefault="00390D21" w:rsidP="0046463C">
            <w:pPr>
              <w:autoSpaceDE/>
              <w:autoSpaceDN/>
              <w:adjustRightInd/>
              <w:spacing w:after="0"/>
              <w:jc w:val="right"/>
              <w:rPr>
                <w:rFonts w:eastAsia="Times New Roman" w:cs="Arial"/>
                <w:lang w:eastAsia="en-GB"/>
              </w:rPr>
            </w:pPr>
            <w:r w:rsidRPr="00904F8C">
              <w:rPr>
                <w:rFonts w:cs="Arial"/>
              </w:rPr>
              <w:t>0.039</w:t>
            </w:r>
          </w:p>
        </w:tc>
        <w:tc>
          <w:tcPr>
            <w:tcW w:w="1324" w:type="dxa"/>
            <w:tcBorders>
              <w:top w:val="nil"/>
              <w:left w:val="nil"/>
              <w:bottom w:val="single" w:sz="8" w:space="0" w:color="auto"/>
              <w:right w:val="single" w:sz="8" w:space="0" w:color="auto"/>
            </w:tcBorders>
            <w:shd w:val="clear" w:color="auto" w:fill="auto"/>
            <w:vAlign w:val="center"/>
          </w:tcPr>
          <w:p w:rsidR="0046463C" w:rsidRPr="00904F8C" w:rsidRDefault="00390D21" w:rsidP="0046463C">
            <w:pPr>
              <w:autoSpaceDE/>
              <w:autoSpaceDN/>
              <w:adjustRightInd/>
              <w:spacing w:after="0"/>
              <w:jc w:val="right"/>
              <w:rPr>
                <w:rFonts w:eastAsia="Times New Roman" w:cs="Arial"/>
                <w:b/>
                <w:bCs/>
                <w:lang w:eastAsia="en-GB"/>
              </w:rPr>
            </w:pPr>
            <w:r>
              <w:rPr>
                <w:rFonts w:eastAsia="Times New Roman" w:cs="Arial"/>
                <w:b/>
                <w:bCs/>
                <w:lang w:eastAsia="en-GB"/>
              </w:rPr>
              <w:t>0.277</w:t>
            </w:r>
          </w:p>
        </w:tc>
      </w:tr>
      <w:tr w:rsidR="00C3717D" w:rsidTr="0046463C">
        <w:trPr>
          <w:trHeight w:val="580"/>
        </w:trPr>
        <w:tc>
          <w:tcPr>
            <w:tcW w:w="3048" w:type="dxa"/>
            <w:tcBorders>
              <w:top w:val="nil"/>
              <w:left w:val="single" w:sz="8" w:space="0" w:color="auto"/>
              <w:bottom w:val="single" w:sz="8" w:space="0" w:color="auto"/>
              <w:right w:val="single" w:sz="8" w:space="0" w:color="auto"/>
            </w:tcBorders>
            <w:shd w:val="clear" w:color="auto" w:fill="auto"/>
            <w:vAlign w:val="center"/>
            <w:hideMark/>
          </w:tcPr>
          <w:p w:rsidR="0046463C" w:rsidRPr="00C44644" w:rsidRDefault="00390D21" w:rsidP="0046463C">
            <w:pPr>
              <w:autoSpaceDE/>
              <w:autoSpaceDN/>
              <w:adjustRightInd/>
              <w:spacing w:after="0"/>
              <w:jc w:val="left"/>
              <w:rPr>
                <w:rFonts w:eastAsia="Times New Roman" w:cs="Arial"/>
                <w:b/>
                <w:bCs/>
                <w:lang w:eastAsia="en-GB"/>
              </w:rPr>
            </w:pPr>
            <w:r w:rsidRPr="00C44644">
              <w:rPr>
                <w:rFonts w:eastAsia="Times New Roman" w:cs="Arial"/>
                <w:b/>
                <w:bCs/>
                <w:lang w:eastAsia="en-GB"/>
              </w:rPr>
              <w:t>Revised pay and pension requirements</w:t>
            </w:r>
          </w:p>
        </w:tc>
        <w:tc>
          <w:tcPr>
            <w:tcW w:w="1276" w:type="dxa"/>
            <w:tcBorders>
              <w:top w:val="nil"/>
              <w:left w:val="single" w:sz="4" w:space="0" w:color="auto"/>
              <w:bottom w:val="single" w:sz="4" w:space="0" w:color="auto"/>
              <w:right w:val="single" w:sz="4" w:space="0" w:color="auto"/>
            </w:tcBorders>
            <w:shd w:val="clear" w:color="auto" w:fill="auto"/>
            <w:vAlign w:val="center"/>
          </w:tcPr>
          <w:p w:rsidR="0046463C" w:rsidRPr="00904F8C" w:rsidRDefault="00390D21" w:rsidP="0046463C">
            <w:pPr>
              <w:autoSpaceDE/>
              <w:autoSpaceDN/>
              <w:adjustRightInd/>
              <w:spacing w:after="0"/>
              <w:jc w:val="right"/>
              <w:rPr>
                <w:rFonts w:eastAsia="Times New Roman" w:cs="Arial"/>
                <w:b/>
                <w:bCs/>
                <w:lang w:eastAsia="en-GB"/>
              </w:rPr>
            </w:pPr>
            <w:r w:rsidRPr="00904F8C">
              <w:rPr>
                <w:rFonts w:cs="Arial"/>
              </w:rPr>
              <w:t>14.401</w:t>
            </w:r>
          </w:p>
        </w:tc>
        <w:tc>
          <w:tcPr>
            <w:tcW w:w="1276" w:type="dxa"/>
            <w:tcBorders>
              <w:top w:val="nil"/>
              <w:left w:val="nil"/>
              <w:bottom w:val="single" w:sz="4" w:space="0" w:color="auto"/>
              <w:right w:val="single" w:sz="4" w:space="0" w:color="auto"/>
            </w:tcBorders>
            <w:shd w:val="clear" w:color="auto" w:fill="auto"/>
            <w:vAlign w:val="center"/>
          </w:tcPr>
          <w:p w:rsidR="0046463C" w:rsidRPr="00904F8C" w:rsidRDefault="00390D21" w:rsidP="0046463C">
            <w:pPr>
              <w:autoSpaceDE/>
              <w:autoSpaceDN/>
              <w:adjustRightInd/>
              <w:spacing w:after="0"/>
              <w:jc w:val="right"/>
              <w:rPr>
                <w:rFonts w:eastAsia="Times New Roman" w:cs="Arial"/>
                <w:b/>
                <w:bCs/>
                <w:lang w:eastAsia="en-GB"/>
              </w:rPr>
            </w:pPr>
            <w:r w:rsidRPr="00904F8C">
              <w:rPr>
                <w:rFonts w:cs="Arial"/>
              </w:rPr>
              <w:t>7.387</w:t>
            </w:r>
          </w:p>
        </w:tc>
        <w:tc>
          <w:tcPr>
            <w:tcW w:w="1276" w:type="dxa"/>
            <w:tcBorders>
              <w:top w:val="nil"/>
              <w:left w:val="nil"/>
              <w:bottom w:val="single" w:sz="4" w:space="0" w:color="auto"/>
              <w:right w:val="single" w:sz="4" w:space="0" w:color="auto"/>
            </w:tcBorders>
            <w:shd w:val="clear" w:color="auto" w:fill="auto"/>
            <w:vAlign w:val="center"/>
          </w:tcPr>
          <w:p w:rsidR="0046463C" w:rsidRPr="00904F8C" w:rsidRDefault="00390D21" w:rsidP="0046463C">
            <w:pPr>
              <w:autoSpaceDE/>
              <w:autoSpaceDN/>
              <w:adjustRightInd/>
              <w:spacing w:after="0"/>
              <w:jc w:val="right"/>
              <w:rPr>
                <w:rFonts w:eastAsia="Times New Roman" w:cs="Arial"/>
                <w:b/>
                <w:bCs/>
                <w:lang w:eastAsia="en-GB"/>
              </w:rPr>
            </w:pPr>
            <w:r w:rsidRPr="00904F8C">
              <w:rPr>
                <w:rFonts w:cs="Arial"/>
              </w:rPr>
              <w:t>6.953</w:t>
            </w:r>
          </w:p>
        </w:tc>
        <w:tc>
          <w:tcPr>
            <w:tcW w:w="1324" w:type="dxa"/>
            <w:tcBorders>
              <w:top w:val="nil"/>
              <w:left w:val="nil"/>
              <w:bottom w:val="single" w:sz="8" w:space="0" w:color="auto"/>
              <w:right w:val="single" w:sz="8" w:space="0" w:color="auto"/>
            </w:tcBorders>
            <w:shd w:val="clear" w:color="auto" w:fill="auto"/>
            <w:vAlign w:val="center"/>
          </w:tcPr>
          <w:p w:rsidR="0046463C" w:rsidRPr="00904F8C" w:rsidRDefault="00390D21" w:rsidP="0046463C">
            <w:pPr>
              <w:autoSpaceDE/>
              <w:autoSpaceDN/>
              <w:adjustRightInd/>
              <w:spacing w:after="0"/>
              <w:jc w:val="right"/>
              <w:rPr>
                <w:rFonts w:eastAsia="Times New Roman" w:cs="Arial"/>
                <w:b/>
                <w:bCs/>
                <w:lang w:eastAsia="en-GB"/>
              </w:rPr>
            </w:pPr>
            <w:r>
              <w:rPr>
                <w:rFonts w:eastAsia="Times New Roman" w:cs="Arial"/>
                <w:b/>
                <w:bCs/>
                <w:lang w:eastAsia="en-GB"/>
              </w:rPr>
              <w:t>28.741</w:t>
            </w:r>
          </w:p>
        </w:tc>
      </w:tr>
      <w:tr w:rsidR="00C3717D" w:rsidTr="0046463C">
        <w:trPr>
          <w:trHeight w:val="220"/>
        </w:trPr>
        <w:tc>
          <w:tcPr>
            <w:tcW w:w="3048" w:type="dxa"/>
            <w:tcBorders>
              <w:top w:val="nil"/>
              <w:left w:val="single" w:sz="8" w:space="0" w:color="auto"/>
              <w:bottom w:val="single" w:sz="8" w:space="0" w:color="auto"/>
              <w:right w:val="single" w:sz="8" w:space="0" w:color="auto"/>
            </w:tcBorders>
            <w:shd w:val="clear" w:color="auto" w:fill="auto"/>
            <w:vAlign w:val="center"/>
            <w:hideMark/>
          </w:tcPr>
          <w:p w:rsidR="0046463C" w:rsidRPr="00C44644" w:rsidRDefault="00390D21" w:rsidP="0046463C">
            <w:pPr>
              <w:autoSpaceDE/>
              <w:autoSpaceDN/>
              <w:adjustRightInd/>
              <w:spacing w:after="0"/>
              <w:jc w:val="left"/>
              <w:rPr>
                <w:rFonts w:eastAsia="Times New Roman" w:cs="Arial"/>
                <w:b/>
                <w:bCs/>
                <w:lang w:eastAsia="en-GB"/>
              </w:rPr>
            </w:pPr>
            <w:r w:rsidRPr="00C44644">
              <w:rPr>
                <w:rFonts w:eastAsia="Times New Roman" w:cs="Arial"/>
                <w:b/>
                <w:bCs/>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rsidR="0046463C" w:rsidRPr="00C44644" w:rsidRDefault="00390D21" w:rsidP="0046463C">
            <w:pPr>
              <w:autoSpaceDE/>
              <w:autoSpaceDN/>
              <w:adjustRightInd/>
              <w:spacing w:after="0"/>
              <w:jc w:val="right"/>
              <w:rPr>
                <w:rFonts w:eastAsia="Times New Roman" w:cs="Arial"/>
                <w:b/>
                <w:bCs/>
                <w:lang w:eastAsia="en-GB"/>
              </w:rPr>
            </w:pPr>
            <w:r w:rsidRPr="00C44644">
              <w:rPr>
                <w:rFonts w:eastAsia="Times New Roman" w:cs="Arial"/>
                <w:b/>
                <w:bCs/>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rsidR="0046463C" w:rsidRPr="00C44644" w:rsidRDefault="00390D21" w:rsidP="0046463C">
            <w:pPr>
              <w:autoSpaceDE/>
              <w:autoSpaceDN/>
              <w:adjustRightInd/>
              <w:spacing w:after="0"/>
              <w:jc w:val="right"/>
              <w:rPr>
                <w:rFonts w:eastAsia="Times New Roman" w:cs="Arial"/>
                <w:b/>
                <w:bCs/>
                <w:lang w:eastAsia="en-GB"/>
              </w:rPr>
            </w:pPr>
            <w:r w:rsidRPr="00C44644">
              <w:rPr>
                <w:rFonts w:eastAsia="Times New Roman" w:cs="Arial"/>
                <w:b/>
                <w:bCs/>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rsidR="0046463C" w:rsidRPr="00C44644" w:rsidRDefault="00390D21" w:rsidP="0046463C">
            <w:pPr>
              <w:autoSpaceDE/>
              <w:autoSpaceDN/>
              <w:adjustRightInd/>
              <w:spacing w:after="0"/>
              <w:jc w:val="right"/>
              <w:rPr>
                <w:rFonts w:eastAsia="Times New Roman" w:cs="Arial"/>
                <w:b/>
                <w:bCs/>
                <w:lang w:eastAsia="en-GB"/>
              </w:rPr>
            </w:pPr>
            <w:r w:rsidRPr="00C44644">
              <w:rPr>
                <w:rFonts w:eastAsia="Times New Roman" w:cs="Arial"/>
                <w:b/>
                <w:bCs/>
                <w:lang w:eastAsia="en-GB"/>
              </w:rPr>
              <w:t> </w:t>
            </w:r>
          </w:p>
        </w:tc>
        <w:tc>
          <w:tcPr>
            <w:tcW w:w="1324" w:type="dxa"/>
            <w:tcBorders>
              <w:top w:val="nil"/>
              <w:left w:val="nil"/>
              <w:bottom w:val="single" w:sz="8" w:space="0" w:color="auto"/>
              <w:right w:val="single" w:sz="8" w:space="0" w:color="auto"/>
            </w:tcBorders>
            <w:shd w:val="clear" w:color="auto" w:fill="auto"/>
            <w:vAlign w:val="center"/>
            <w:hideMark/>
          </w:tcPr>
          <w:p w:rsidR="0046463C" w:rsidRPr="00C44644" w:rsidRDefault="00390D21" w:rsidP="0046463C">
            <w:pPr>
              <w:autoSpaceDE/>
              <w:autoSpaceDN/>
              <w:adjustRightInd/>
              <w:spacing w:after="0"/>
              <w:jc w:val="right"/>
              <w:rPr>
                <w:rFonts w:eastAsia="Times New Roman" w:cs="Arial"/>
                <w:b/>
                <w:bCs/>
                <w:lang w:eastAsia="en-GB"/>
              </w:rPr>
            </w:pPr>
            <w:r w:rsidRPr="00C44644">
              <w:rPr>
                <w:rFonts w:eastAsia="Times New Roman" w:cs="Arial"/>
                <w:b/>
                <w:bCs/>
                <w:lang w:eastAsia="en-GB"/>
              </w:rPr>
              <w:t> </w:t>
            </w:r>
          </w:p>
        </w:tc>
      </w:tr>
      <w:tr w:rsidR="00C3717D" w:rsidTr="0046463C">
        <w:trPr>
          <w:trHeight w:val="580"/>
        </w:trPr>
        <w:tc>
          <w:tcPr>
            <w:tcW w:w="3048" w:type="dxa"/>
            <w:tcBorders>
              <w:top w:val="nil"/>
              <w:left w:val="single" w:sz="8" w:space="0" w:color="auto"/>
              <w:bottom w:val="single" w:sz="8" w:space="0" w:color="auto"/>
              <w:right w:val="single" w:sz="8" w:space="0" w:color="auto"/>
            </w:tcBorders>
            <w:shd w:val="clear" w:color="auto" w:fill="auto"/>
            <w:vAlign w:val="center"/>
            <w:hideMark/>
          </w:tcPr>
          <w:p w:rsidR="0046463C" w:rsidRPr="00C44644" w:rsidRDefault="00390D21" w:rsidP="0046463C">
            <w:pPr>
              <w:autoSpaceDE/>
              <w:autoSpaceDN/>
              <w:adjustRightInd/>
              <w:spacing w:after="0"/>
              <w:jc w:val="left"/>
              <w:rPr>
                <w:rFonts w:eastAsia="Times New Roman" w:cs="Arial"/>
                <w:b/>
                <w:bCs/>
                <w:lang w:eastAsia="en-GB"/>
              </w:rPr>
            </w:pPr>
            <w:r w:rsidRPr="00C44644">
              <w:rPr>
                <w:rFonts w:eastAsia="Times New Roman" w:cs="Arial"/>
                <w:b/>
                <w:bCs/>
                <w:lang w:eastAsia="en-GB"/>
              </w:rPr>
              <w:t>Pay and pensions -previous MTFS</w:t>
            </w:r>
          </w:p>
        </w:tc>
        <w:tc>
          <w:tcPr>
            <w:tcW w:w="1276" w:type="dxa"/>
            <w:tcBorders>
              <w:top w:val="nil"/>
              <w:left w:val="nil"/>
              <w:bottom w:val="single" w:sz="8" w:space="0" w:color="auto"/>
              <w:right w:val="single" w:sz="8" w:space="0" w:color="auto"/>
            </w:tcBorders>
            <w:shd w:val="clear" w:color="auto" w:fill="auto"/>
            <w:vAlign w:val="center"/>
            <w:hideMark/>
          </w:tcPr>
          <w:p w:rsidR="0046463C" w:rsidRPr="00C44644" w:rsidRDefault="00390D21" w:rsidP="0046463C">
            <w:pPr>
              <w:autoSpaceDE/>
              <w:autoSpaceDN/>
              <w:adjustRightInd/>
              <w:spacing w:after="0"/>
              <w:jc w:val="right"/>
              <w:rPr>
                <w:rFonts w:eastAsia="Times New Roman" w:cs="Arial"/>
                <w:b/>
                <w:bCs/>
                <w:lang w:eastAsia="en-GB"/>
              </w:rPr>
            </w:pPr>
            <w:r w:rsidRPr="00C44644">
              <w:rPr>
                <w:rFonts w:eastAsia="Times New Roman" w:cs="Arial"/>
                <w:b/>
                <w:bCs/>
                <w:lang w:eastAsia="en-GB"/>
              </w:rPr>
              <w:t>12.343</w:t>
            </w:r>
          </w:p>
        </w:tc>
        <w:tc>
          <w:tcPr>
            <w:tcW w:w="1276" w:type="dxa"/>
            <w:tcBorders>
              <w:top w:val="nil"/>
              <w:left w:val="nil"/>
              <w:bottom w:val="single" w:sz="8" w:space="0" w:color="auto"/>
              <w:right w:val="single" w:sz="8" w:space="0" w:color="auto"/>
            </w:tcBorders>
            <w:shd w:val="clear" w:color="auto" w:fill="auto"/>
            <w:vAlign w:val="center"/>
            <w:hideMark/>
          </w:tcPr>
          <w:p w:rsidR="0046463C" w:rsidRPr="00C44644" w:rsidRDefault="00390D21" w:rsidP="0046463C">
            <w:pPr>
              <w:autoSpaceDE/>
              <w:autoSpaceDN/>
              <w:adjustRightInd/>
              <w:spacing w:after="0"/>
              <w:jc w:val="right"/>
              <w:rPr>
                <w:rFonts w:eastAsia="Times New Roman" w:cs="Arial"/>
                <w:b/>
                <w:bCs/>
                <w:lang w:eastAsia="en-GB"/>
              </w:rPr>
            </w:pPr>
            <w:r>
              <w:rPr>
                <w:rFonts w:eastAsia="Times New Roman" w:cs="Arial"/>
                <w:b/>
                <w:bCs/>
                <w:lang w:eastAsia="en-GB"/>
              </w:rPr>
              <w:t>8.241</w:t>
            </w:r>
          </w:p>
        </w:tc>
        <w:tc>
          <w:tcPr>
            <w:tcW w:w="1276" w:type="dxa"/>
            <w:tcBorders>
              <w:top w:val="nil"/>
              <w:left w:val="nil"/>
              <w:bottom w:val="single" w:sz="8" w:space="0" w:color="auto"/>
              <w:right w:val="single" w:sz="8" w:space="0" w:color="auto"/>
            </w:tcBorders>
            <w:shd w:val="clear" w:color="auto" w:fill="auto"/>
            <w:vAlign w:val="center"/>
            <w:hideMark/>
          </w:tcPr>
          <w:p w:rsidR="0046463C" w:rsidRPr="00C44644" w:rsidRDefault="00390D21" w:rsidP="0046463C">
            <w:pPr>
              <w:autoSpaceDE/>
              <w:autoSpaceDN/>
              <w:adjustRightInd/>
              <w:spacing w:after="0"/>
              <w:jc w:val="right"/>
              <w:rPr>
                <w:rFonts w:eastAsia="Times New Roman" w:cs="Arial"/>
                <w:b/>
                <w:bCs/>
                <w:lang w:eastAsia="en-GB"/>
              </w:rPr>
            </w:pPr>
            <w:r>
              <w:rPr>
                <w:rFonts w:eastAsia="Times New Roman" w:cs="Arial"/>
                <w:b/>
                <w:bCs/>
                <w:lang w:eastAsia="en-GB"/>
              </w:rPr>
              <w:t>7.935</w:t>
            </w:r>
          </w:p>
        </w:tc>
        <w:tc>
          <w:tcPr>
            <w:tcW w:w="1324" w:type="dxa"/>
            <w:tcBorders>
              <w:top w:val="nil"/>
              <w:left w:val="nil"/>
              <w:bottom w:val="single" w:sz="8" w:space="0" w:color="auto"/>
              <w:right w:val="single" w:sz="8" w:space="0" w:color="auto"/>
            </w:tcBorders>
            <w:shd w:val="clear" w:color="auto" w:fill="auto"/>
            <w:vAlign w:val="center"/>
            <w:hideMark/>
          </w:tcPr>
          <w:p w:rsidR="0046463C" w:rsidRPr="00C44644" w:rsidRDefault="00390D21" w:rsidP="0046463C">
            <w:pPr>
              <w:autoSpaceDE/>
              <w:autoSpaceDN/>
              <w:adjustRightInd/>
              <w:spacing w:after="0"/>
              <w:jc w:val="right"/>
              <w:rPr>
                <w:rFonts w:eastAsia="Times New Roman" w:cs="Arial"/>
                <w:b/>
                <w:bCs/>
                <w:lang w:eastAsia="en-GB"/>
              </w:rPr>
            </w:pPr>
            <w:r>
              <w:rPr>
                <w:rFonts w:eastAsia="Times New Roman" w:cs="Arial"/>
                <w:b/>
                <w:bCs/>
                <w:lang w:eastAsia="en-GB"/>
              </w:rPr>
              <w:t>28.519</w:t>
            </w:r>
          </w:p>
        </w:tc>
      </w:tr>
      <w:tr w:rsidR="00C3717D" w:rsidTr="0046463C">
        <w:trPr>
          <w:trHeight w:val="220"/>
        </w:trPr>
        <w:tc>
          <w:tcPr>
            <w:tcW w:w="3048" w:type="dxa"/>
            <w:tcBorders>
              <w:top w:val="nil"/>
              <w:left w:val="single" w:sz="8" w:space="0" w:color="auto"/>
              <w:bottom w:val="single" w:sz="8" w:space="0" w:color="auto"/>
              <w:right w:val="single" w:sz="8" w:space="0" w:color="auto"/>
            </w:tcBorders>
            <w:shd w:val="clear" w:color="auto" w:fill="auto"/>
            <w:vAlign w:val="center"/>
            <w:hideMark/>
          </w:tcPr>
          <w:p w:rsidR="0046463C" w:rsidRPr="00C44644" w:rsidRDefault="00390D21" w:rsidP="0046463C">
            <w:pPr>
              <w:autoSpaceDE/>
              <w:autoSpaceDN/>
              <w:adjustRightInd/>
              <w:spacing w:after="0"/>
              <w:jc w:val="left"/>
              <w:rPr>
                <w:rFonts w:eastAsia="Times New Roman" w:cs="Arial"/>
                <w:lang w:eastAsia="en-GB"/>
              </w:rPr>
            </w:pPr>
            <w:r w:rsidRPr="00C44644">
              <w:rPr>
                <w:rFonts w:eastAsia="Times New Roman" w:cs="Arial"/>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rsidR="0046463C" w:rsidRPr="00C44644" w:rsidRDefault="00390D21" w:rsidP="0046463C">
            <w:pPr>
              <w:autoSpaceDE/>
              <w:autoSpaceDN/>
              <w:adjustRightInd/>
              <w:spacing w:after="0"/>
              <w:jc w:val="right"/>
              <w:rPr>
                <w:rFonts w:eastAsia="Times New Roman" w:cs="Arial"/>
                <w:lang w:eastAsia="en-GB"/>
              </w:rPr>
            </w:pPr>
            <w:r w:rsidRPr="00C44644">
              <w:rPr>
                <w:rFonts w:eastAsia="Times New Roman" w:cs="Arial"/>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rsidR="0046463C" w:rsidRPr="00C44644" w:rsidRDefault="00390D21" w:rsidP="0046463C">
            <w:pPr>
              <w:autoSpaceDE/>
              <w:autoSpaceDN/>
              <w:adjustRightInd/>
              <w:spacing w:after="0"/>
              <w:jc w:val="right"/>
              <w:rPr>
                <w:rFonts w:eastAsia="Times New Roman" w:cs="Arial"/>
                <w:b/>
                <w:bCs/>
                <w:lang w:eastAsia="en-GB"/>
              </w:rPr>
            </w:pPr>
            <w:r w:rsidRPr="00C44644">
              <w:rPr>
                <w:rFonts w:eastAsia="Times New Roman" w:cs="Arial"/>
                <w:b/>
                <w:bCs/>
                <w:lang w:eastAsia="en-GB"/>
              </w:rPr>
              <w:t> </w:t>
            </w:r>
          </w:p>
        </w:tc>
        <w:tc>
          <w:tcPr>
            <w:tcW w:w="1276" w:type="dxa"/>
            <w:tcBorders>
              <w:top w:val="nil"/>
              <w:left w:val="nil"/>
              <w:bottom w:val="single" w:sz="8" w:space="0" w:color="auto"/>
              <w:right w:val="single" w:sz="8" w:space="0" w:color="auto"/>
            </w:tcBorders>
            <w:shd w:val="clear" w:color="auto" w:fill="auto"/>
            <w:vAlign w:val="center"/>
            <w:hideMark/>
          </w:tcPr>
          <w:p w:rsidR="0046463C" w:rsidRPr="00C44644" w:rsidRDefault="00390D21" w:rsidP="0046463C">
            <w:pPr>
              <w:autoSpaceDE/>
              <w:autoSpaceDN/>
              <w:adjustRightInd/>
              <w:spacing w:after="0"/>
              <w:jc w:val="right"/>
              <w:rPr>
                <w:rFonts w:eastAsia="Times New Roman" w:cs="Arial"/>
                <w:b/>
                <w:bCs/>
                <w:lang w:eastAsia="en-GB"/>
              </w:rPr>
            </w:pPr>
            <w:r w:rsidRPr="00C44644">
              <w:rPr>
                <w:rFonts w:eastAsia="Times New Roman" w:cs="Arial"/>
                <w:b/>
                <w:bCs/>
                <w:lang w:eastAsia="en-GB"/>
              </w:rPr>
              <w:t> </w:t>
            </w:r>
          </w:p>
        </w:tc>
        <w:tc>
          <w:tcPr>
            <w:tcW w:w="1324" w:type="dxa"/>
            <w:tcBorders>
              <w:top w:val="nil"/>
              <w:left w:val="nil"/>
              <w:bottom w:val="single" w:sz="8" w:space="0" w:color="auto"/>
              <w:right w:val="single" w:sz="8" w:space="0" w:color="auto"/>
            </w:tcBorders>
            <w:shd w:val="clear" w:color="auto" w:fill="auto"/>
            <w:vAlign w:val="center"/>
            <w:hideMark/>
          </w:tcPr>
          <w:p w:rsidR="0046463C" w:rsidRPr="00C44644" w:rsidRDefault="00390D21" w:rsidP="0046463C">
            <w:pPr>
              <w:autoSpaceDE/>
              <w:autoSpaceDN/>
              <w:adjustRightInd/>
              <w:spacing w:after="0"/>
              <w:jc w:val="right"/>
              <w:rPr>
                <w:rFonts w:eastAsia="Times New Roman" w:cs="Arial"/>
                <w:b/>
                <w:bCs/>
                <w:lang w:eastAsia="en-GB"/>
              </w:rPr>
            </w:pPr>
            <w:r w:rsidRPr="00C44644">
              <w:rPr>
                <w:rFonts w:eastAsia="Times New Roman" w:cs="Arial"/>
                <w:b/>
                <w:bCs/>
                <w:lang w:eastAsia="en-GB"/>
              </w:rPr>
              <w:t> </w:t>
            </w:r>
          </w:p>
        </w:tc>
      </w:tr>
      <w:tr w:rsidR="00C3717D" w:rsidTr="0046463C">
        <w:trPr>
          <w:trHeight w:val="580"/>
        </w:trPr>
        <w:tc>
          <w:tcPr>
            <w:tcW w:w="3048" w:type="dxa"/>
            <w:tcBorders>
              <w:top w:val="nil"/>
              <w:left w:val="single" w:sz="8" w:space="0" w:color="auto"/>
              <w:bottom w:val="single" w:sz="8" w:space="0" w:color="auto"/>
              <w:right w:val="single" w:sz="8" w:space="0" w:color="auto"/>
            </w:tcBorders>
            <w:shd w:val="clear" w:color="auto" w:fill="auto"/>
            <w:vAlign w:val="center"/>
            <w:hideMark/>
          </w:tcPr>
          <w:p w:rsidR="0046463C" w:rsidRPr="00C44644" w:rsidRDefault="00390D21" w:rsidP="0046463C">
            <w:pPr>
              <w:autoSpaceDE/>
              <w:autoSpaceDN/>
              <w:adjustRightInd/>
              <w:spacing w:after="0"/>
              <w:jc w:val="left"/>
              <w:rPr>
                <w:rFonts w:eastAsia="Times New Roman" w:cs="Arial"/>
                <w:b/>
                <w:bCs/>
                <w:lang w:eastAsia="en-GB"/>
              </w:rPr>
            </w:pPr>
            <w:r w:rsidRPr="00C44644">
              <w:rPr>
                <w:rFonts w:eastAsia="Times New Roman" w:cs="Arial"/>
                <w:b/>
                <w:bCs/>
                <w:lang w:eastAsia="en-GB"/>
              </w:rPr>
              <w:t>Variance</w:t>
            </w:r>
          </w:p>
        </w:tc>
        <w:tc>
          <w:tcPr>
            <w:tcW w:w="1276" w:type="dxa"/>
            <w:tcBorders>
              <w:top w:val="nil"/>
              <w:left w:val="nil"/>
              <w:bottom w:val="single" w:sz="8" w:space="0" w:color="auto"/>
              <w:right w:val="single" w:sz="8" w:space="0" w:color="auto"/>
            </w:tcBorders>
            <w:shd w:val="clear" w:color="auto" w:fill="auto"/>
            <w:vAlign w:val="center"/>
          </w:tcPr>
          <w:p w:rsidR="0046463C" w:rsidRPr="00A90445" w:rsidRDefault="00390D21" w:rsidP="0046463C">
            <w:pPr>
              <w:autoSpaceDE/>
              <w:autoSpaceDN/>
              <w:adjustRightInd/>
              <w:spacing w:after="0"/>
              <w:jc w:val="right"/>
              <w:rPr>
                <w:rFonts w:eastAsia="Times New Roman" w:cs="Arial"/>
                <w:b/>
                <w:lang w:eastAsia="en-GB"/>
              </w:rPr>
            </w:pPr>
            <w:r>
              <w:rPr>
                <w:rFonts w:eastAsia="Times New Roman" w:cs="Arial"/>
                <w:b/>
                <w:lang w:eastAsia="en-GB"/>
              </w:rPr>
              <w:t>2.058</w:t>
            </w:r>
          </w:p>
        </w:tc>
        <w:tc>
          <w:tcPr>
            <w:tcW w:w="1276" w:type="dxa"/>
            <w:tcBorders>
              <w:top w:val="nil"/>
              <w:left w:val="nil"/>
              <w:bottom w:val="single" w:sz="8" w:space="0" w:color="auto"/>
              <w:right w:val="single" w:sz="8" w:space="0" w:color="auto"/>
            </w:tcBorders>
            <w:shd w:val="clear" w:color="auto" w:fill="auto"/>
            <w:vAlign w:val="center"/>
          </w:tcPr>
          <w:p w:rsidR="0046463C" w:rsidRPr="00A90445" w:rsidRDefault="00390D21" w:rsidP="0046463C">
            <w:pPr>
              <w:autoSpaceDE/>
              <w:autoSpaceDN/>
              <w:adjustRightInd/>
              <w:spacing w:after="0"/>
              <w:jc w:val="right"/>
              <w:rPr>
                <w:rFonts w:eastAsia="Times New Roman" w:cs="Arial"/>
                <w:b/>
                <w:lang w:eastAsia="en-GB"/>
              </w:rPr>
            </w:pPr>
            <w:r>
              <w:rPr>
                <w:rFonts w:eastAsia="Times New Roman" w:cs="Arial"/>
                <w:b/>
                <w:lang w:eastAsia="en-GB"/>
              </w:rPr>
              <w:t>-0.854</w:t>
            </w:r>
          </w:p>
        </w:tc>
        <w:tc>
          <w:tcPr>
            <w:tcW w:w="1276" w:type="dxa"/>
            <w:tcBorders>
              <w:top w:val="nil"/>
              <w:left w:val="nil"/>
              <w:bottom w:val="single" w:sz="8" w:space="0" w:color="auto"/>
              <w:right w:val="single" w:sz="8" w:space="0" w:color="auto"/>
            </w:tcBorders>
            <w:shd w:val="clear" w:color="auto" w:fill="auto"/>
            <w:vAlign w:val="center"/>
          </w:tcPr>
          <w:p w:rsidR="0046463C" w:rsidRPr="00A90445" w:rsidRDefault="00390D21" w:rsidP="0046463C">
            <w:pPr>
              <w:autoSpaceDE/>
              <w:autoSpaceDN/>
              <w:adjustRightInd/>
              <w:spacing w:after="0"/>
              <w:jc w:val="right"/>
              <w:rPr>
                <w:rFonts w:eastAsia="Times New Roman" w:cs="Arial"/>
                <w:b/>
                <w:lang w:eastAsia="en-GB"/>
              </w:rPr>
            </w:pPr>
            <w:r>
              <w:rPr>
                <w:rFonts w:eastAsia="Times New Roman" w:cs="Arial"/>
                <w:b/>
                <w:lang w:eastAsia="en-GB"/>
              </w:rPr>
              <w:t>-0.982</w:t>
            </w:r>
          </w:p>
        </w:tc>
        <w:tc>
          <w:tcPr>
            <w:tcW w:w="1324" w:type="dxa"/>
            <w:tcBorders>
              <w:top w:val="nil"/>
              <w:left w:val="nil"/>
              <w:bottom w:val="single" w:sz="8" w:space="0" w:color="auto"/>
              <w:right w:val="single" w:sz="8" w:space="0" w:color="auto"/>
            </w:tcBorders>
            <w:shd w:val="clear" w:color="auto" w:fill="auto"/>
            <w:vAlign w:val="center"/>
          </w:tcPr>
          <w:p w:rsidR="0046463C" w:rsidRPr="00A90445" w:rsidRDefault="00390D21" w:rsidP="0046463C">
            <w:pPr>
              <w:autoSpaceDE/>
              <w:autoSpaceDN/>
              <w:adjustRightInd/>
              <w:spacing w:after="0"/>
              <w:jc w:val="right"/>
              <w:rPr>
                <w:rFonts w:eastAsia="Times New Roman" w:cs="Arial"/>
                <w:b/>
                <w:lang w:eastAsia="en-GB"/>
              </w:rPr>
            </w:pPr>
            <w:r>
              <w:rPr>
                <w:rFonts w:eastAsia="Times New Roman" w:cs="Arial"/>
                <w:b/>
                <w:lang w:eastAsia="en-GB"/>
              </w:rPr>
              <w:t>0.222</w:t>
            </w:r>
          </w:p>
        </w:tc>
      </w:tr>
    </w:tbl>
    <w:p w:rsidR="0046463C" w:rsidRDefault="00390D21" w:rsidP="0046463C">
      <w:pPr>
        <w:spacing w:after="0"/>
        <w:rPr>
          <w:rFonts w:cs="Arial"/>
          <w:b/>
          <w:highlight w:val="yellow"/>
        </w:rPr>
      </w:pPr>
    </w:p>
    <w:p w:rsidR="0046463C" w:rsidRDefault="00390D21" w:rsidP="0046463C">
      <w:pPr>
        <w:spacing w:after="0"/>
        <w:rPr>
          <w:rFonts w:cs="Arial"/>
          <w:b/>
          <w:highlight w:val="yellow"/>
        </w:rPr>
      </w:pPr>
    </w:p>
    <w:p w:rsidR="0046463C" w:rsidRDefault="00390D21" w:rsidP="0046463C">
      <w:pPr>
        <w:spacing w:after="0"/>
        <w:rPr>
          <w:rFonts w:cs="Arial"/>
          <w:b/>
          <w:highlight w:val="yellow"/>
        </w:rPr>
      </w:pPr>
    </w:p>
    <w:p w:rsidR="0046463C" w:rsidRDefault="00390D21" w:rsidP="0046463C">
      <w:pPr>
        <w:spacing w:after="0"/>
        <w:rPr>
          <w:rFonts w:cs="Arial"/>
          <w:b/>
          <w:highlight w:val="yellow"/>
        </w:rPr>
      </w:pPr>
    </w:p>
    <w:p w:rsidR="0046463C" w:rsidRDefault="00390D21" w:rsidP="0046463C">
      <w:pPr>
        <w:spacing w:after="0"/>
        <w:rPr>
          <w:rFonts w:cs="Arial"/>
          <w:b/>
          <w:highlight w:val="yellow"/>
        </w:rPr>
      </w:pPr>
    </w:p>
    <w:p w:rsidR="0046463C" w:rsidRDefault="00390D21" w:rsidP="0046463C">
      <w:pPr>
        <w:spacing w:after="0"/>
        <w:rPr>
          <w:rFonts w:cs="Arial"/>
          <w:b/>
          <w:highlight w:val="yellow"/>
        </w:rPr>
      </w:pPr>
    </w:p>
    <w:p w:rsidR="0046463C" w:rsidRDefault="00390D21" w:rsidP="0046463C">
      <w:pPr>
        <w:spacing w:after="0"/>
        <w:rPr>
          <w:rFonts w:cs="Arial"/>
          <w:b/>
          <w:highlight w:val="yellow"/>
        </w:rPr>
      </w:pPr>
    </w:p>
    <w:p w:rsidR="0046463C" w:rsidRDefault="00390D21" w:rsidP="0046463C">
      <w:pPr>
        <w:spacing w:after="0"/>
        <w:rPr>
          <w:rFonts w:cs="Arial"/>
          <w:b/>
          <w:highlight w:val="yellow"/>
        </w:rPr>
      </w:pPr>
    </w:p>
    <w:p w:rsidR="0046463C" w:rsidRPr="00E95F45" w:rsidRDefault="00390D21" w:rsidP="0046463C">
      <w:pPr>
        <w:spacing w:after="0"/>
        <w:rPr>
          <w:rFonts w:cs="Arial"/>
          <w:b/>
          <w:highlight w:val="yellow"/>
        </w:rPr>
      </w:pPr>
    </w:p>
    <w:p w:rsidR="0046463C" w:rsidRPr="004715C5" w:rsidRDefault="00390D21" w:rsidP="0046463C">
      <w:pPr>
        <w:spacing w:after="0"/>
        <w:rPr>
          <w:rFonts w:cs="Arial"/>
          <w:b/>
        </w:rPr>
      </w:pPr>
      <w:r w:rsidRPr="004715C5">
        <w:rPr>
          <w:rFonts w:cs="Arial"/>
          <w:b/>
        </w:rPr>
        <w:t>3.2 Price inflation and cost changes</w:t>
      </w:r>
    </w:p>
    <w:p w:rsidR="0046463C" w:rsidRDefault="00390D21" w:rsidP="0046463C">
      <w:pPr>
        <w:tabs>
          <w:tab w:val="left" w:pos="1134"/>
        </w:tabs>
        <w:spacing w:after="0"/>
        <w:rPr>
          <w:rFonts w:cs="Arial"/>
        </w:rPr>
      </w:pPr>
      <w:r w:rsidRPr="004B5347">
        <w:rPr>
          <w:rFonts w:cs="Arial"/>
        </w:rPr>
        <w:t xml:space="preserve">Contractual price increases represent a significant cost pressure to the county council. The assumptions have been subject to regular review by services. </w:t>
      </w:r>
    </w:p>
    <w:p w:rsidR="0046463C" w:rsidRDefault="00390D21" w:rsidP="0046463C">
      <w:pPr>
        <w:tabs>
          <w:tab w:val="left" w:pos="1134"/>
        </w:tabs>
        <w:spacing w:after="0"/>
        <w:rPr>
          <w:rFonts w:cs="Arial"/>
        </w:rPr>
      </w:pPr>
    </w:p>
    <w:p w:rsidR="0046463C" w:rsidRDefault="00390D21" w:rsidP="0046463C">
      <w:pPr>
        <w:tabs>
          <w:tab w:val="left" w:pos="1134"/>
        </w:tabs>
        <w:spacing w:after="0"/>
        <w:rPr>
          <w:rFonts w:cs="Arial"/>
        </w:rPr>
      </w:pPr>
      <w:r>
        <w:rPr>
          <w:rFonts w:cs="Arial"/>
        </w:rPr>
        <w:t>As part of the Spending Review 2020 an update was provided as to the level of the national living wa</w:t>
      </w:r>
      <w:r>
        <w:rPr>
          <w:rFonts w:cs="Arial"/>
        </w:rPr>
        <w:t>ge for 2021 which is a key factor in determining fee levels for our commissioned services within adult social care and is reflected in this updated position.  Actual proposed fee levels for Adult Social Care in 2021/22 will be considered by Cabinet in Febr</w:t>
      </w:r>
      <w:r>
        <w:rPr>
          <w:rFonts w:cs="Arial"/>
        </w:rPr>
        <w:t xml:space="preserve">uary following engagement with a number of providers to consider overall cost pressures.  </w:t>
      </w:r>
    </w:p>
    <w:p w:rsidR="005F28BA" w:rsidRPr="004B5347" w:rsidRDefault="00390D21" w:rsidP="0046463C">
      <w:pPr>
        <w:tabs>
          <w:tab w:val="left" w:pos="1134"/>
        </w:tabs>
        <w:spacing w:after="0"/>
        <w:rPr>
          <w:rFonts w:cs="Arial"/>
        </w:rPr>
      </w:pPr>
    </w:p>
    <w:p w:rsidR="0046463C" w:rsidRPr="00AE6F94" w:rsidRDefault="00390D21" w:rsidP="0046463C">
      <w:pPr>
        <w:spacing w:after="0"/>
        <w:rPr>
          <w:rFonts w:cs="Arial"/>
        </w:rPr>
      </w:pPr>
      <w:r w:rsidRPr="004B5347">
        <w:rPr>
          <w:rFonts w:cs="Arial"/>
        </w:rPr>
        <w:t>The updated inflationary pressures are analysed across the authority as per table 5:</w:t>
      </w:r>
      <w:r w:rsidRPr="00AE6F94">
        <w:rPr>
          <w:rFonts w:cs="Arial"/>
        </w:rPr>
        <w:t xml:space="preserve">  </w:t>
      </w:r>
    </w:p>
    <w:p w:rsidR="0046463C" w:rsidRPr="00AE6F94" w:rsidRDefault="00390D21" w:rsidP="0046463C">
      <w:pPr>
        <w:spacing w:after="0"/>
        <w:rPr>
          <w:rFonts w:cs="Arial"/>
        </w:rPr>
      </w:pPr>
    </w:p>
    <w:p w:rsidR="0046463C" w:rsidRPr="00AE6F94" w:rsidRDefault="00390D21" w:rsidP="0046463C">
      <w:pPr>
        <w:spacing w:after="0"/>
        <w:rPr>
          <w:rFonts w:cs="Arial"/>
          <w:b/>
          <w:i/>
          <w:u w:val="single"/>
        </w:rPr>
      </w:pPr>
      <w:r w:rsidRPr="00AE6F94">
        <w:rPr>
          <w:rFonts w:cs="Arial"/>
          <w:b/>
          <w:i/>
          <w:u w:val="single"/>
        </w:rPr>
        <w:t>Table 5</w:t>
      </w:r>
    </w:p>
    <w:p w:rsidR="0046463C" w:rsidRPr="00E95F45" w:rsidRDefault="00390D21" w:rsidP="0046463C">
      <w:pPr>
        <w:tabs>
          <w:tab w:val="left" w:pos="567"/>
          <w:tab w:val="left" w:pos="1134"/>
        </w:tabs>
        <w:spacing w:after="0"/>
        <w:rPr>
          <w:rFonts w:cs="Arial"/>
          <w:highlight w:val="yellow"/>
        </w:rPr>
      </w:pPr>
    </w:p>
    <w:tbl>
      <w:tblPr>
        <w:tblW w:w="8938" w:type="dxa"/>
        <w:tblInd w:w="-10" w:type="dxa"/>
        <w:tblLook w:val="04A0" w:firstRow="1" w:lastRow="0" w:firstColumn="1" w:lastColumn="0" w:noHBand="0" w:noVBand="1"/>
      </w:tblPr>
      <w:tblGrid>
        <w:gridCol w:w="4250"/>
        <w:gridCol w:w="1172"/>
        <w:gridCol w:w="1172"/>
        <w:gridCol w:w="1172"/>
        <w:gridCol w:w="1172"/>
      </w:tblGrid>
      <w:tr w:rsidR="00C3717D" w:rsidTr="0046463C">
        <w:trPr>
          <w:trHeight w:val="275"/>
        </w:trPr>
        <w:tc>
          <w:tcPr>
            <w:tcW w:w="4250"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46463C" w:rsidRPr="00AE6F94" w:rsidRDefault="00390D21" w:rsidP="0046463C">
            <w:pPr>
              <w:autoSpaceDE/>
              <w:autoSpaceDN/>
              <w:adjustRightInd/>
              <w:spacing w:after="0"/>
              <w:rPr>
                <w:rFonts w:eastAsia="Times New Roman" w:cs="Arial"/>
                <w:lang w:eastAsia="en-GB"/>
              </w:rPr>
            </w:pPr>
            <w:r w:rsidRPr="00AE6F94">
              <w:rPr>
                <w:rFonts w:eastAsia="Times New Roman" w:cs="Arial"/>
                <w:lang w:eastAsia="en-GB"/>
              </w:rPr>
              <w:t> </w:t>
            </w:r>
          </w:p>
        </w:tc>
        <w:tc>
          <w:tcPr>
            <w:tcW w:w="1172" w:type="dxa"/>
            <w:tcBorders>
              <w:top w:val="single" w:sz="8" w:space="0" w:color="auto"/>
              <w:left w:val="nil"/>
              <w:bottom w:val="nil"/>
              <w:right w:val="single" w:sz="8" w:space="0" w:color="auto"/>
            </w:tcBorders>
            <w:shd w:val="clear" w:color="000000" w:fill="BFBFBF"/>
            <w:noWrap/>
            <w:vAlign w:val="center"/>
            <w:hideMark/>
          </w:tcPr>
          <w:p w:rsidR="0046463C" w:rsidRPr="00AE6F94" w:rsidRDefault="00390D21" w:rsidP="0046463C">
            <w:pPr>
              <w:autoSpaceDE/>
              <w:autoSpaceDN/>
              <w:adjustRightInd/>
              <w:spacing w:after="0"/>
              <w:jc w:val="center"/>
              <w:rPr>
                <w:rFonts w:eastAsia="Times New Roman" w:cs="Arial"/>
                <w:b/>
                <w:bCs/>
                <w:lang w:eastAsia="en-GB"/>
              </w:rPr>
            </w:pPr>
            <w:r w:rsidRPr="00AE6F94">
              <w:rPr>
                <w:rFonts w:eastAsia="Times New Roman" w:cs="Arial"/>
                <w:b/>
                <w:bCs/>
                <w:lang w:eastAsia="en-GB"/>
              </w:rPr>
              <w:t>2021/22</w:t>
            </w:r>
          </w:p>
        </w:tc>
        <w:tc>
          <w:tcPr>
            <w:tcW w:w="1172" w:type="dxa"/>
            <w:tcBorders>
              <w:top w:val="single" w:sz="8" w:space="0" w:color="auto"/>
              <w:left w:val="nil"/>
              <w:bottom w:val="nil"/>
              <w:right w:val="single" w:sz="8" w:space="0" w:color="auto"/>
            </w:tcBorders>
            <w:shd w:val="clear" w:color="000000" w:fill="BFBFBF"/>
            <w:noWrap/>
            <w:vAlign w:val="center"/>
            <w:hideMark/>
          </w:tcPr>
          <w:p w:rsidR="0046463C" w:rsidRPr="00AE6F94" w:rsidRDefault="00390D21" w:rsidP="0046463C">
            <w:pPr>
              <w:autoSpaceDE/>
              <w:autoSpaceDN/>
              <w:adjustRightInd/>
              <w:spacing w:after="0"/>
              <w:jc w:val="center"/>
              <w:rPr>
                <w:rFonts w:eastAsia="Times New Roman" w:cs="Arial"/>
                <w:b/>
                <w:bCs/>
                <w:lang w:eastAsia="en-GB"/>
              </w:rPr>
            </w:pPr>
            <w:r w:rsidRPr="00AE6F94">
              <w:rPr>
                <w:rFonts w:eastAsia="Times New Roman" w:cs="Arial"/>
                <w:b/>
                <w:bCs/>
                <w:lang w:eastAsia="en-GB"/>
              </w:rPr>
              <w:t>2022/23</w:t>
            </w:r>
          </w:p>
        </w:tc>
        <w:tc>
          <w:tcPr>
            <w:tcW w:w="1172" w:type="dxa"/>
            <w:tcBorders>
              <w:top w:val="single" w:sz="8" w:space="0" w:color="auto"/>
              <w:left w:val="nil"/>
              <w:bottom w:val="nil"/>
              <w:right w:val="single" w:sz="8" w:space="0" w:color="auto"/>
            </w:tcBorders>
            <w:shd w:val="clear" w:color="000000" w:fill="BFBFBF"/>
            <w:noWrap/>
            <w:vAlign w:val="center"/>
            <w:hideMark/>
          </w:tcPr>
          <w:p w:rsidR="0046463C" w:rsidRPr="00AE6F94" w:rsidRDefault="00390D21" w:rsidP="0046463C">
            <w:pPr>
              <w:autoSpaceDE/>
              <w:autoSpaceDN/>
              <w:adjustRightInd/>
              <w:spacing w:after="0"/>
              <w:jc w:val="center"/>
              <w:rPr>
                <w:rFonts w:eastAsia="Times New Roman" w:cs="Arial"/>
                <w:b/>
                <w:bCs/>
                <w:lang w:eastAsia="en-GB"/>
              </w:rPr>
            </w:pPr>
            <w:r w:rsidRPr="00AE6F94">
              <w:rPr>
                <w:rFonts w:eastAsia="Times New Roman" w:cs="Arial"/>
                <w:b/>
                <w:bCs/>
                <w:lang w:eastAsia="en-GB"/>
              </w:rPr>
              <w:t>2023/24</w:t>
            </w:r>
          </w:p>
        </w:tc>
        <w:tc>
          <w:tcPr>
            <w:tcW w:w="1172" w:type="dxa"/>
            <w:tcBorders>
              <w:top w:val="single" w:sz="8" w:space="0" w:color="auto"/>
              <w:left w:val="nil"/>
              <w:bottom w:val="nil"/>
              <w:right w:val="single" w:sz="8" w:space="0" w:color="auto"/>
            </w:tcBorders>
            <w:shd w:val="clear" w:color="000000" w:fill="BFBFBF"/>
            <w:noWrap/>
            <w:vAlign w:val="center"/>
            <w:hideMark/>
          </w:tcPr>
          <w:p w:rsidR="0046463C" w:rsidRPr="00AE6F94" w:rsidRDefault="00390D21" w:rsidP="0046463C">
            <w:pPr>
              <w:autoSpaceDE/>
              <w:autoSpaceDN/>
              <w:adjustRightInd/>
              <w:spacing w:after="0"/>
              <w:jc w:val="center"/>
              <w:rPr>
                <w:rFonts w:eastAsia="Times New Roman" w:cs="Arial"/>
                <w:b/>
                <w:bCs/>
                <w:lang w:eastAsia="en-GB"/>
              </w:rPr>
            </w:pPr>
            <w:r w:rsidRPr="00AE6F94">
              <w:rPr>
                <w:rFonts w:eastAsia="Times New Roman" w:cs="Arial"/>
                <w:b/>
                <w:bCs/>
                <w:lang w:eastAsia="en-GB"/>
              </w:rPr>
              <w:t>Total</w:t>
            </w:r>
          </w:p>
        </w:tc>
      </w:tr>
      <w:tr w:rsidR="00C3717D" w:rsidTr="0046463C">
        <w:trPr>
          <w:trHeight w:val="284"/>
        </w:trPr>
        <w:tc>
          <w:tcPr>
            <w:tcW w:w="4250" w:type="dxa"/>
            <w:vMerge/>
            <w:tcBorders>
              <w:top w:val="single" w:sz="8" w:space="0" w:color="auto"/>
              <w:left w:val="single" w:sz="8" w:space="0" w:color="auto"/>
              <w:bottom w:val="single" w:sz="8" w:space="0" w:color="000000"/>
              <w:right w:val="single" w:sz="8" w:space="0" w:color="auto"/>
            </w:tcBorders>
            <w:vAlign w:val="center"/>
            <w:hideMark/>
          </w:tcPr>
          <w:p w:rsidR="0046463C" w:rsidRPr="00AE6F94" w:rsidRDefault="00390D21" w:rsidP="0046463C">
            <w:pPr>
              <w:autoSpaceDE/>
              <w:autoSpaceDN/>
              <w:adjustRightInd/>
              <w:spacing w:after="0"/>
              <w:jc w:val="left"/>
              <w:rPr>
                <w:rFonts w:eastAsia="Times New Roman" w:cs="Arial"/>
                <w:lang w:eastAsia="en-GB"/>
              </w:rPr>
            </w:pPr>
          </w:p>
        </w:tc>
        <w:tc>
          <w:tcPr>
            <w:tcW w:w="1172" w:type="dxa"/>
            <w:tcBorders>
              <w:top w:val="nil"/>
              <w:left w:val="nil"/>
              <w:bottom w:val="single" w:sz="8" w:space="0" w:color="auto"/>
              <w:right w:val="single" w:sz="8" w:space="0" w:color="auto"/>
            </w:tcBorders>
            <w:shd w:val="clear" w:color="000000" w:fill="BFBFBF"/>
            <w:noWrap/>
            <w:vAlign w:val="center"/>
            <w:hideMark/>
          </w:tcPr>
          <w:p w:rsidR="0046463C" w:rsidRPr="00AE6F94" w:rsidRDefault="00390D21" w:rsidP="0046463C">
            <w:pPr>
              <w:autoSpaceDE/>
              <w:autoSpaceDN/>
              <w:adjustRightInd/>
              <w:spacing w:after="0"/>
              <w:jc w:val="center"/>
              <w:rPr>
                <w:rFonts w:eastAsia="Times New Roman" w:cs="Arial"/>
                <w:b/>
                <w:bCs/>
                <w:lang w:eastAsia="en-GB"/>
              </w:rPr>
            </w:pPr>
            <w:r w:rsidRPr="00AE6F94">
              <w:rPr>
                <w:rFonts w:eastAsia="Times New Roman" w:cs="Arial"/>
                <w:b/>
                <w:bCs/>
                <w:lang w:eastAsia="en-GB"/>
              </w:rPr>
              <w:t>£m</w:t>
            </w:r>
          </w:p>
        </w:tc>
        <w:tc>
          <w:tcPr>
            <w:tcW w:w="1172" w:type="dxa"/>
            <w:tcBorders>
              <w:top w:val="nil"/>
              <w:left w:val="nil"/>
              <w:bottom w:val="single" w:sz="8" w:space="0" w:color="auto"/>
              <w:right w:val="single" w:sz="8" w:space="0" w:color="auto"/>
            </w:tcBorders>
            <w:shd w:val="clear" w:color="000000" w:fill="BFBFBF"/>
            <w:noWrap/>
            <w:vAlign w:val="center"/>
            <w:hideMark/>
          </w:tcPr>
          <w:p w:rsidR="0046463C" w:rsidRPr="00AE6F94" w:rsidRDefault="00390D21" w:rsidP="0046463C">
            <w:pPr>
              <w:autoSpaceDE/>
              <w:autoSpaceDN/>
              <w:adjustRightInd/>
              <w:spacing w:after="0"/>
              <w:jc w:val="center"/>
              <w:rPr>
                <w:rFonts w:eastAsia="Times New Roman" w:cs="Arial"/>
                <w:b/>
                <w:bCs/>
                <w:lang w:eastAsia="en-GB"/>
              </w:rPr>
            </w:pPr>
            <w:r w:rsidRPr="00AE6F94">
              <w:rPr>
                <w:rFonts w:eastAsia="Times New Roman" w:cs="Arial"/>
                <w:b/>
                <w:bCs/>
                <w:lang w:eastAsia="en-GB"/>
              </w:rPr>
              <w:t>£m</w:t>
            </w:r>
          </w:p>
        </w:tc>
        <w:tc>
          <w:tcPr>
            <w:tcW w:w="1172" w:type="dxa"/>
            <w:tcBorders>
              <w:top w:val="nil"/>
              <w:left w:val="nil"/>
              <w:bottom w:val="single" w:sz="8" w:space="0" w:color="auto"/>
              <w:right w:val="single" w:sz="8" w:space="0" w:color="auto"/>
            </w:tcBorders>
            <w:shd w:val="clear" w:color="000000" w:fill="BFBFBF"/>
            <w:noWrap/>
            <w:vAlign w:val="center"/>
            <w:hideMark/>
          </w:tcPr>
          <w:p w:rsidR="0046463C" w:rsidRPr="00AE6F94" w:rsidRDefault="00390D21" w:rsidP="0046463C">
            <w:pPr>
              <w:autoSpaceDE/>
              <w:autoSpaceDN/>
              <w:adjustRightInd/>
              <w:spacing w:after="0"/>
              <w:jc w:val="center"/>
              <w:rPr>
                <w:rFonts w:eastAsia="Times New Roman" w:cs="Arial"/>
                <w:b/>
                <w:bCs/>
                <w:lang w:eastAsia="en-GB"/>
              </w:rPr>
            </w:pPr>
            <w:r w:rsidRPr="00AE6F94">
              <w:rPr>
                <w:rFonts w:eastAsia="Times New Roman" w:cs="Arial"/>
                <w:b/>
                <w:bCs/>
                <w:lang w:eastAsia="en-GB"/>
              </w:rPr>
              <w:t>£m</w:t>
            </w:r>
          </w:p>
        </w:tc>
        <w:tc>
          <w:tcPr>
            <w:tcW w:w="1172" w:type="dxa"/>
            <w:tcBorders>
              <w:top w:val="nil"/>
              <w:left w:val="nil"/>
              <w:bottom w:val="single" w:sz="8" w:space="0" w:color="auto"/>
              <w:right w:val="single" w:sz="8" w:space="0" w:color="auto"/>
            </w:tcBorders>
            <w:shd w:val="clear" w:color="000000" w:fill="BFBFBF"/>
            <w:noWrap/>
            <w:vAlign w:val="center"/>
            <w:hideMark/>
          </w:tcPr>
          <w:p w:rsidR="0046463C" w:rsidRPr="00AE6F94" w:rsidRDefault="00390D21" w:rsidP="0046463C">
            <w:pPr>
              <w:autoSpaceDE/>
              <w:autoSpaceDN/>
              <w:adjustRightInd/>
              <w:spacing w:after="0"/>
              <w:jc w:val="center"/>
              <w:rPr>
                <w:rFonts w:eastAsia="Times New Roman" w:cs="Arial"/>
                <w:b/>
                <w:bCs/>
                <w:lang w:eastAsia="en-GB"/>
              </w:rPr>
            </w:pPr>
            <w:r w:rsidRPr="00AE6F94">
              <w:rPr>
                <w:rFonts w:eastAsia="Times New Roman" w:cs="Arial"/>
                <w:b/>
                <w:bCs/>
                <w:lang w:eastAsia="en-GB"/>
              </w:rPr>
              <w:t>£m</w:t>
            </w:r>
          </w:p>
        </w:tc>
      </w:tr>
      <w:tr w:rsidR="00C3717D" w:rsidTr="0046463C">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rsidR="0046463C" w:rsidRPr="0049468E" w:rsidRDefault="00390D21" w:rsidP="0046463C">
            <w:pPr>
              <w:autoSpaceDE/>
              <w:autoSpaceDN/>
              <w:adjustRightInd/>
              <w:spacing w:after="0"/>
              <w:rPr>
                <w:rFonts w:eastAsia="Times New Roman" w:cs="Arial"/>
                <w:lang w:eastAsia="en-GB"/>
              </w:rPr>
            </w:pPr>
            <w:r w:rsidRPr="0049468E">
              <w:rPr>
                <w:rFonts w:eastAsia="Times New Roman" w:cs="Arial"/>
                <w:lang w:eastAsia="en-GB"/>
              </w:rPr>
              <w:t>Adults Services</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63C" w:rsidRPr="004B5347" w:rsidRDefault="00390D21" w:rsidP="0046463C">
            <w:pPr>
              <w:autoSpaceDE/>
              <w:autoSpaceDN/>
              <w:adjustRightInd/>
              <w:spacing w:after="0"/>
              <w:jc w:val="right"/>
              <w:rPr>
                <w:rFonts w:eastAsia="Times New Roman" w:cs="Arial"/>
                <w:lang w:eastAsia="en-GB"/>
              </w:rPr>
            </w:pPr>
            <w:r w:rsidRPr="004B5347">
              <w:rPr>
                <w:rFonts w:cs="Arial"/>
              </w:rPr>
              <w:t>15.011</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46463C" w:rsidRPr="004B5347" w:rsidRDefault="00390D21" w:rsidP="0046463C">
            <w:pPr>
              <w:autoSpaceDE/>
              <w:autoSpaceDN/>
              <w:adjustRightInd/>
              <w:spacing w:after="0"/>
              <w:jc w:val="right"/>
              <w:rPr>
                <w:rFonts w:eastAsia="Times New Roman" w:cs="Arial"/>
                <w:lang w:eastAsia="en-GB"/>
              </w:rPr>
            </w:pPr>
            <w:r w:rsidRPr="004B5347">
              <w:rPr>
                <w:rFonts w:cs="Arial"/>
              </w:rPr>
              <w:t>13.911</w:t>
            </w:r>
          </w:p>
        </w:tc>
        <w:tc>
          <w:tcPr>
            <w:tcW w:w="1172" w:type="dxa"/>
            <w:tcBorders>
              <w:top w:val="single" w:sz="4" w:space="0" w:color="auto"/>
              <w:left w:val="nil"/>
              <w:bottom w:val="single" w:sz="4" w:space="0" w:color="auto"/>
              <w:right w:val="single" w:sz="4" w:space="0" w:color="auto"/>
            </w:tcBorders>
            <w:shd w:val="clear" w:color="auto" w:fill="auto"/>
            <w:noWrap/>
            <w:vAlign w:val="center"/>
          </w:tcPr>
          <w:p w:rsidR="0046463C" w:rsidRPr="004B5347" w:rsidRDefault="00390D21" w:rsidP="0046463C">
            <w:pPr>
              <w:autoSpaceDE/>
              <w:autoSpaceDN/>
              <w:adjustRightInd/>
              <w:spacing w:after="0"/>
              <w:jc w:val="right"/>
              <w:rPr>
                <w:rFonts w:eastAsia="Times New Roman" w:cs="Arial"/>
                <w:lang w:eastAsia="en-GB"/>
              </w:rPr>
            </w:pPr>
            <w:r>
              <w:rPr>
                <w:rFonts w:cs="Arial"/>
              </w:rPr>
              <w:t>14.706</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63C" w:rsidRPr="007365D3" w:rsidRDefault="00390D21" w:rsidP="0046463C">
            <w:pPr>
              <w:autoSpaceDE/>
              <w:autoSpaceDN/>
              <w:adjustRightInd/>
              <w:spacing w:after="0"/>
              <w:jc w:val="right"/>
              <w:rPr>
                <w:rFonts w:eastAsia="Times New Roman" w:cs="Arial"/>
                <w:b/>
                <w:bCs/>
                <w:lang w:eastAsia="en-GB"/>
              </w:rPr>
            </w:pPr>
            <w:r>
              <w:rPr>
                <w:rFonts w:cs="Arial"/>
                <w:b/>
              </w:rPr>
              <w:t>43.628</w:t>
            </w:r>
          </w:p>
        </w:tc>
      </w:tr>
      <w:tr w:rsidR="00C3717D" w:rsidTr="0046463C">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rsidR="0046463C" w:rsidRPr="0049468E" w:rsidRDefault="00390D21" w:rsidP="0046463C">
            <w:pPr>
              <w:autoSpaceDE/>
              <w:autoSpaceDN/>
              <w:adjustRightInd/>
              <w:spacing w:after="0"/>
              <w:rPr>
                <w:rFonts w:eastAsia="Times New Roman" w:cs="Arial"/>
                <w:lang w:eastAsia="en-GB"/>
              </w:rPr>
            </w:pPr>
            <w:r w:rsidRPr="0049468E">
              <w:rPr>
                <w:rFonts w:eastAsia="Times New Roman" w:cs="Arial"/>
                <w:lang w:eastAsia="en-GB"/>
              </w:rPr>
              <w:t>Children's Services</w:t>
            </w:r>
          </w:p>
        </w:tc>
        <w:tc>
          <w:tcPr>
            <w:tcW w:w="1172" w:type="dxa"/>
            <w:tcBorders>
              <w:top w:val="nil"/>
              <w:left w:val="single" w:sz="4" w:space="0" w:color="auto"/>
              <w:bottom w:val="single" w:sz="4" w:space="0" w:color="auto"/>
              <w:right w:val="single" w:sz="4" w:space="0" w:color="auto"/>
            </w:tcBorders>
            <w:shd w:val="clear" w:color="auto" w:fill="auto"/>
            <w:noWrap/>
            <w:vAlign w:val="center"/>
          </w:tcPr>
          <w:p w:rsidR="0046463C" w:rsidRPr="004B5347" w:rsidRDefault="00390D21" w:rsidP="0046463C">
            <w:pPr>
              <w:autoSpaceDE/>
              <w:autoSpaceDN/>
              <w:adjustRightInd/>
              <w:spacing w:after="0"/>
              <w:jc w:val="right"/>
              <w:rPr>
                <w:rFonts w:eastAsia="Times New Roman" w:cs="Arial"/>
                <w:lang w:eastAsia="en-GB"/>
              </w:rPr>
            </w:pPr>
            <w:r w:rsidRPr="004B5347">
              <w:rPr>
                <w:rFonts w:cs="Arial"/>
              </w:rPr>
              <w:t>1.364</w:t>
            </w:r>
          </w:p>
        </w:tc>
        <w:tc>
          <w:tcPr>
            <w:tcW w:w="1172" w:type="dxa"/>
            <w:tcBorders>
              <w:top w:val="nil"/>
              <w:left w:val="nil"/>
              <w:bottom w:val="single" w:sz="4" w:space="0" w:color="auto"/>
              <w:right w:val="single" w:sz="4" w:space="0" w:color="auto"/>
            </w:tcBorders>
            <w:shd w:val="clear" w:color="auto" w:fill="auto"/>
            <w:noWrap/>
            <w:vAlign w:val="center"/>
          </w:tcPr>
          <w:p w:rsidR="0046463C" w:rsidRPr="004B5347" w:rsidRDefault="00390D21" w:rsidP="0046463C">
            <w:pPr>
              <w:autoSpaceDE/>
              <w:autoSpaceDN/>
              <w:adjustRightInd/>
              <w:spacing w:after="0"/>
              <w:jc w:val="right"/>
              <w:rPr>
                <w:rFonts w:eastAsia="Times New Roman" w:cs="Arial"/>
                <w:lang w:eastAsia="en-GB"/>
              </w:rPr>
            </w:pPr>
            <w:r w:rsidRPr="004B5347">
              <w:rPr>
                <w:rFonts w:cs="Arial"/>
              </w:rPr>
              <w:t>1.893</w:t>
            </w:r>
          </w:p>
        </w:tc>
        <w:tc>
          <w:tcPr>
            <w:tcW w:w="1172" w:type="dxa"/>
            <w:tcBorders>
              <w:top w:val="nil"/>
              <w:left w:val="nil"/>
              <w:bottom w:val="single" w:sz="4" w:space="0" w:color="auto"/>
              <w:right w:val="single" w:sz="4" w:space="0" w:color="auto"/>
            </w:tcBorders>
            <w:shd w:val="clear" w:color="auto" w:fill="auto"/>
            <w:noWrap/>
            <w:vAlign w:val="center"/>
          </w:tcPr>
          <w:p w:rsidR="0046463C" w:rsidRPr="004B5347" w:rsidRDefault="00390D21" w:rsidP="0046463C">
            <w:pPr>
              <w:autoSpaceDE/>
              <w:autoSpaceDN/>
              <w:adjustRightInd/>
              <w:spacing w:after="0"/>
              <w:jc w:val="right"/>
              <w:rPr>
                <w:rFonts w:eastAsia="Times New Roman" w:cs="Arial"/>
                <w:lang w:eastAsia="en-GB"/>
              </w:rPr>
            </w:pPr>
            <w:r w:rsidRPr="004B5347">
              <w:rPr>
                <w:rFonts w:cs="Arial"/>
              </w:rPr>
              <w:t>2.121</w:t>
            </w:r>
          </w:p>
        </w:tc>
        <w:tc>
          <w:tcPr>
            <w:tcW w:w="1172" w:type="dxa"/>
            <w:tcBorders>
              <w:top w:val="nil"/>
              <w:left w:val="single" w:sz="4" w:space="0" w:color="auto"/>
              <w:bottom w:val="single" w:sz="4" w:space="0" w:color="auto"/>
              <w:right w:val="single" w:sz="4" w:space="0" w:color="auto"/>
            </w:tcBorders>
            <w:shd w:val="clear" w:color="auto" w:fill="auto"/>
            <w:noWrap/>
            <w:vAlign w:val="center"/>
          </w:tcPr>
          <w:p w:rsidR="0046463C" w:rsidRPr="007365D3" w:rsidRDefault="00390D21" w:rsidP="0046463C">
            <w:pPr>
              <w:autoSpaceDE/>
              <w:autoSpaceDN/>
              <w:adjustRightInd/>
              <w:spacing w:after="0"/>
              <w:jc w:val="right"/>
              <w:rPr>
                <w:rFonts w:eastAsia="Times New Roman" w:cs="Arial"/>
                <w:b/>
                <w:bCs/>
                <w:lang w:eastAsia="en-GB"/>
              </w:rPr>
            </w:pPr>
            <w:r w:rsidRPr="007365D3">
              <w:rPr>
                <w:rFonts w:cs="Arial"/>
                <w:b/>
              </w:rPr>
              <w:t>5.378</w:t>
            </w:r>
          </w:p>
        </w:tc>
      </w:tr>
      <w:tr w:rsidR="00C3717D" w:rsidTr="0046463C">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rsidR="0046463C" w:rsidRPr="0049468E" w:rsidRDefault="00390D21" w:rsidP="0046463C">
            <w:pPr>
              <w:autoSpaceDE/>
              <w:autoSpaceDN/>
              <w:adjustRightInd/>
              <w:spacing w:after="0"/>
              <w:rPr>
                <w:rFonts w:eastAsia="Times New Roman" w:cs="Arial"/>
                <w:lang w:eastAsia="en-GB"/>
              </w:rPr>
            </w:pPr>
            <w:r w:rsidRPr="0049468E">
              <w:rPr>
                <w:rFonts w:eastAsia="Times New Roman" w:cs="Arial"/>
                <w:lang w:eastAsia="en-GB"/>
              </w:rPr>
              <w:t>Waste Services</w:t>
            </w:r>
          </w:p>
        </w:tc>
        <w:tc>
          <w:tcPr>
            <w:tcW w:w="1172" w:type="dxa"/>
            <w:tcBorders>
              <w:top w:val="nil"/>
              <w:left w:val="single" w:sz="4" w:space="0" w:color="auto"/>
              <w:bottom w:val="single" w:sz="4" w:space="0" w:color="auto"/>
              <w:right w:val="single" w:sz="4" w:space="0" w:color="auto"/>
            </w:tcBorders>
            <w:shd w:val="clear" w:color="auto" w:fill="auto"/>
            <w:noWrap/>
            <w:vAlign w:val="center"/>
          </w:tcPr>
          <w:p w:rsidR="0046463C" w:rsidRPr="004B5347" w:rsidRDefault="00390D21" w:rsidP="0046463C">
            <w:pPr>
              <w:autoSpaceDE/>
              <w:autoSpaceDN/>
              <w:adjustRightInd/>
              <w:spacing w:after="0"/>
              <w:jc w:val="right"/>
              <w:rPr>
                <w:rFonts w:eastAsia="Times New Roman" w:cs="Arial"/>
                <w:lang w:eastAsia="en-GB"/>
              </w:rPr>
            </w:pPr>
            <w:r w:rsidRPr="004B5347">
              <w:rPr>
                <w:rFonts w:cs="Arial"/>
              </w:rPr>
              <w:t>2.460</w:t>
            </w:r>
          </w:p>
        </w:tc>
        <w:tc>
          <w:tcPr>
            <w:tcW w:w="1172" w:type="dxa"/>
            <w:tcBorders>
              <w:top w:val="nil"/>
              <w:left w:val="nil"/>
              <w:bottom w:val="single" w:sz="4" w:space="0" w:color="auto"/>
              <w:right w:val="single" w:sz="4" w:space="0" w:color="auto"/>
            </w:tcBorders>
            <w:shd w:val="clear" w:color="auto" w:fill="auto"/>
            <w:noWrap/>
            <w:vAlign w:val="center"/>
          </w:tcPr>
          <w:p w:rsidR="0046463C" w:rsidRPr="004B5347" w:rsidRDefault="00390D21" w:rsidP="0046463C">
            <w:pPr>
              <w:autoSpaceDE/>
              <w:autoSpaceDN/>
              <w:adjustRightInd/>
              <w:spacing w:after="0"/>
              <w:jc w:val="right"/>
              <w:rPr>
                <w:rFonts w:eastAsia="Times New Roman" w:cs="Arial"/>
                <w:lang w:eastAsia="en-GB"/>
              </w:rPr>
            </w:pPr>
            <w:r w:rsidRPr="004B5347">
              <w:rPr>
                <w:rFonts w:cs="Arial"/>
              </w:rPr>
              <w:t>2.041</w:t>
            </w:r>
          </w:p>
        </w:tc>
        <w:tc>
          <w:tcPr>
            <w:tcW w:w="1172" w:type="dxa"/>
            <w:tcBorders>
              <w:top w:val="nil"/>
              <w:left w:val="nil"/>
              <w:bottom w:val="single" w:sz="4" w:space="0" w:color="auto"/>
              <w:right w:val="single" w:sz="4" w:space="0" w:color="auto"/>
            </w:tcBorders>
            <w:shd w:val="clear" w:color="auto" w:fill="auto"/>
            <w:noWrap/>
            <w:vAlign w:val="center"/>
          </w:tcPr>
          <w:p w:rsidR="0046463C" w:rsidRPr="004B5347" w:rsidRDefault="00390D21" w:rsidP="0046463C">
            <w:pPr>
              <w:autoSpaceDE/>
              <w:autoSpaceDN/>
              <w:adjustRightInd/>
              <w:spacing w:after="0"/>
              <w:jc w:val="right"/>
              <w:rPr>
                <w:rFonts w:eastAsia="Times New Roman" w:cs="Arial"/>
                <w:lang w:eastAsia="en-GB"/>
              </w:rPr>
            </w:pPr>
            <w:r w:rsidRPr="004B5347">
              <w:rPr>
                <w:rFonts w:cs="Arial"/>
              </w:rPr>
              <w:t>2.167</w:t>
            </w:r>
          </w:p>
        </w:tc>
        <w:tc>
          <w:tcPr>
            <w:tcW w:w="1172" w:type="dxa"/>
            <w:tcBorders>
              <w:top w:val="nil"/>
              <w:left w:val="single" w:sz="4" w:space="0" w:color="auto"/>
              <w:bottom w:val="single" w:sz="4" w:space="0" w:color="auto"/>
              <w:right w:val="single" w:sz="4" w:space="0" w:color="auto"/>
            </w:tcBorders>
            <w:shd w:val="clear" w:color="auto" w:fill="auto"/>
            <w:noWrap/>
            <w:vAlign w:val="center"/>
          </w:tcPr>
          <w:p w:rsidR="0046463C" w:rsidRPr="007365D3" w:rsidRDefault="00390D21" w:rsidP="0046463C">
            <w:pPr>
              <w:autoSpaceDE/>
              <w:autoSpaceDN/>
              <w:adjustRightInd/>
              <w:spacing w:after="0"/>
              <w:jc w:val="right"/>
              <w:rPr>
                <w:rFonts w:eastAsia="Times New Roman" w:cs="Arial"/>
                <w:b/>
                <w:bCs/>
                <w:lang w:eastAsia="en-GB"/>
              </w:rPr>
            </w:pPr>
            <w:r w:rsidRPr="007365D3">
              <w:rPr>
                <w:rFonts w:cs="Arial"/>
                <w:b/>
              </w:rPr>
              <w:t>6.668</w:t>
            </w:r>
          </w:p>
        </w:tc>
      </w:tr>
      <w:tr w:rsidR="00C3717D" w:rsidTr="0046463C">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rsidR="0046463C" w:rsidRPr="0049468E" w:rsidRDefault="00390D21" w:rsidP="0046463C">
            <w:pPr>
              <w:autoSpaceDE/>
              <w:autoSpaceDN/>
              <w:adjustRightInd/>
              <w:spacing w:after="0"/>
              <w:rPr>
                <w:rFonts w:eastAsia="Times New Roman" w:cs="Arial"/>
                <w:lang w:eastAsia="en-GB"/>
              </w:rPr>
            </w:pPr>
            <w:r w:rsidRPr="0049468E">
              <w:rPr>
                <w:rFonts w:eastAsia="Times New Roman" w:cs="Arial"/>
                <w:lang w:eastAsia="en-GB"/>
              </w:rPr>
              <w:t>Transport Services</w:t>
            </w:r>
          </w:p>
        </w:tc>
        <w:tc>
          <w:tcPr>
            <w:tcW w:w="1172" w:type="dxa"/>
            <w:tcBorders>
              <w:top w:val="nil"/>
              <w:left w:val="single" w:sz="4" w:space="0" w:color="auto"/>
              <w:bottom w:val="single" w:sz="4" w:space="0" w:color="auto"/>
              <w:right w:val="single" w:sz="4" w:space="0" w:color="auto"/>
            </w:tcBorders>
            <w:shd w:val="clear" w:color="auto" w:fill="auto"/>
            <w:noWrap/>
            <w:vAlign w:val="center"/>
          </w:tcPr>
          <w:p w:rsidR="0046463C" w:rsidRPr="004B5347" w:rsidRDefault="00390D21" w:rsidP="0046463C">
            <w:pPr>
              <w:autoSpaceDE/>
              <w:autoSpaceDN/>
              <w:adjustRightInd/>
              <w:spacing w:after="0"/>
              <w:jc w:val="right"/>
              <w:rPr>
                <w:rFonts w:eastAsia="Times New Roman" w:cs="Arial"/>
                <w:lang w:eastAsia="en-GB"/>
              </w:rPr>
            </w:pPr>
            <w:r w:rsidRPr="004B5347">
              <w:rPr>
                <w:rFonts w:cs="Arial"/>
              </w:rPr>
              <w:t>1.463</w:t>
            </w:r>
          </w:p>
        </w:tc>
        <w:tc>
          <w:tcPr>
            <w:tcW w:w="1172" w:type="dxa"/>
            <w:tcBorders>
              <w:top w:val="nil"/>
              <w:left w:val="nil"/>
              <w:bottom w:val="single" w:sz="4" w:space="0" w:color="auto"/>
              <w:right w:val="single" w:sz="4" w:space="0" w:color="auto"/>
            </w:tcBorders>
            <w:shd w:val="clear" w:color="auto" w:fill="auto"/>
            <w:noWrap/>
            <w:vAlign w:val="center"/>
          </w:tcPr>
          <w:p w:rsidR="0046463C" w:rsidRPr="004B5347" w:rsidRDefault="00390D21" w:rsidP="0046463C">
            <w:pPr>
              <w:autoSpaceDE/>
              <w:autoSpaceDN/>
              <w:adjustRightInd/>
              <w:spacing w:after="0"/>
              <w:jc w:val="right"/>
              <w:rPr>
                <w:rFonts w:eastAsia="Times New Roman" w:cs="Arial"/>
                <w:lang w:eastAsia="en-GB"/>
              </w:rPr>
            </w:pPr>
            <w:r w:rsidRPr="004B5347">
              <w:rPr>
                <w:rFonts w:cs="Arial"/>
              </w:rPr>
              <w:t>1.553</w:t>
            </w:r>
          </w:p>
        </w:tc>
        <w:tc>
          <w:tcPr>
            <w:tcW w:w="1172" w:type="dxa"/>
            <w:tcBorders>
              <w:top w:val="nil"/>
              <w:left w:val="nil"/>
              <w:bottom w:val="single" w:sz="4" w:space="0" w:color="auto"/>
              <w:right w:val="single" w:sz="4" w:space="0" w:color="auto"/>
            </w:tcBorders>
            <w:shd w:val="clear" w:color="auto" w:fill="auto"/>
            <w:noWrap/>
            <w:vAlign w:val="center"/>
          </w:tcPr>
          <w:p w:rsidR="0046463C" w:rsidRPr="004B5347" w:rsidRDefault="00390D21" w:rsidP="0046463C">
            <w:pPr>
              <w:autoSpaceDE/>
              <w:autoSpaceDN/>
              <w:adjustRightInd/>
              <w:spacing w:after="0"/>
              <w:jc w:val="right"/>
              <w:rPr>
                <w:rFonts w:eastAsia="Times New Roman" w:cs="Arial"/>
                <w:lang w:eastAsia="en-GB"/>
              </w:rPr>
            </w:pPr>
            <w:r w:rsidRPr="004B5347">
              <w:rPr>
                <w:rFonts w:cs="Arial"/>
              </w:rPr>
              <w:t>1.632</w:t>
            </w:r>
          </w:p>
        </w:tc>
        <w:tc>
          <w:tcPr>
            <w:tcW w:w="1172" w:type="dxa"/>
            <w:tcBorders>
              <w:top w:val="nil"/>
              <w:left w:val="single" w:sz="4" w:space="0" w:color="auto"/>
              <w:bottom w:val="single" w:sz="4" w:space="0" w:color="auto"/>
              <w:right w:val="single" w:sz="4" w:space="0" w:color="auto"/>
            </w:tcBorders>
            <w:shd w:val="clear" w:color="auto" w:fill="auto"/>
            <w:noWrap/>
            <w:vAlign w:val="center"/>
          </w:tcPr>
          <w:p w:rsidR="0046463C" w:rsidRPr="007365D3" w:rsidRDefault="00390D21" w:rsidP="0046463C">
            <w:pPr>
              <w:autoSpaceDE/>
              <w:autoSpaceDN/>
              <w:adjustRightInd/>
              <w:spacing w:after="0"/>
              <w:jc w:val="right"/>
              <w:rPr>
                <w:rFonts w:eastAsia="Times New Roman" w:cs="Arial"/>
                <w:b/>
                <w:bCs/>
                <w:lang w:eastAsia="en-GB"/>
              </w:rPr>
            </w:pPr>
            <w:r w:rsidRPr="007365D3">
              <w:rPr>
                <w:rFonts w:cs="Arial"/>
                <w:b/>
              </w:rPr>
              <w:t>4.648</w:t>
            </w:r>
          </w:p>
        </w:tc>
      </w:tr>
      <w:tr w:rsidR="00C3717D" w:rsidTr="0046463C">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rsidR="0046463C" w:rsidRPr="0049468E" w:rsidRDefault="00390D21" w:rsidP="0046463C">
            <w:pPr>
              <w:autoSpaceDE/>
              <w:autoSpaceDN/>
              <w:adjustRightInd/>
              <w:spacing w:after="0"/>
              <w:rPr>
                <w:rFonts w:eastAsia="Times New Roman" w:cs="Arial"/>
                <w:lang w:eastAsia="en-GB"/>
              </w:rPr>
            </w:pPr>
            <w:r w:rsidRPr="0049468E">
              <w:rPr>
                <w:rFonts w:eastAsia="Times New Roman" w:cs="Arial"/>
                <w:lang w:eastAsia="en-GB"/>
              </w:rPr>
              <w:t>Other Services</w:t>
            </w:r>
          </w:p>
        </w:tc>
        <w:tc>
          <w:tcPr>
            <w:tcW w:w="1172" w:type="dxa"/>
            <w:tcBorders>
              <w:top w:val="nil"/>
              <w:left w:val="single" w:sz="4" w:space="0" w:color="auto"/>
              <w:bottom w:val="single" w:sz="4" w:space="0" w:color="auto"/>
              <w:right w:val="single" w:sz="4" w:space="0" w:color="auto"/>
            </w:tcBorders>
            <w:shd w:val="clear" w:color="auto" w:fill="auto"/>
            <w:noWrap/>
            <w:vAlign w:val="center"/>
          </w:tcPr>
          <w:p w:rsidR="0046463C" w:rsidRPr="004B5347" w:rsidRDefault="00390D21" w:rsidP="0046463C">
            <w:pPr>
              <w:autoSpaceDE/>
              <w:autoSpaceDN/>
              <w:adjustRightInd/>
              <w:spacing w:after="0"/>
              <w:jc w:val="right"/>
              <w:rPr>
                <w:rFonts w:eastAsia="Times New Roman" w:cs="Arial"/>
                <w:lang w:eastAsia="en-GB"/>
              </w:rPr>
            </w:pPr>
            <w:r w:rsidRPr="004B5347">
              <w:rPr>
                <w:rFonts w:cs="Arial"/>
              </w:rPr>
              <w:t>-1.643</w:t>
            </w:r>
          </w:p>
        </w:tc>
        <w:tc>
          <w:tcPr>
            <w:tcW w:w="1172" w:type="dxa"/>
            <w:tcBorders>
              <w:top w:val="nil"/>
              <w:left w:val="nil"/>
              <w:bottom w:val="single" w:sz="4" w:space="0" w:color="auto"/>
              <w:right w:val="single" w:sz="4" w:space="0" w:color="auto"/>
            </w:tcBorders>
            <w:shd w:val="clear" w:color="auto" w:fill="auto"/>
            <w:noWrap/>
            <w:vAlign w:val="center"/>
          </w:tcPr>
          <w:p w:rsidR="0046463C" w:rsidRPr="004B5347" w:rsidRDefault="00390D21" w:rsidP="0046463C">
            <w:pPr>
              <w:autoSpaceDE/>
              <w:autoSpaceDN/>
              <w:adjustRightInd/>
              <w:spacing w:after="0"/>
              <w:jc w:val="right"/>
              <w:rPr>
                <w:rFonts w:eastAsia="Times New Roman" w:cs="Arial"/>
                <w:lang w:eastAsia="en-GB"/>
              </w:rPr>
            </w:pPr>
            <w:r w:rsidRPr="004B5347">
              <w:rPr>
                <w:rFonts w:cs="Arial"/>
              </w:rPr>
              <w:t>2.208</w:t>
            </w:r>
          </w:p>
        </w:tc>
        <w:tc>
          <w:tcPr>
            <w:tcW w:w="1172" w:type="dxa"/>
            <w:tcBorders>
              <w:top w:val="nil"/>
              <w:left w:val="nil"/>
              <w:bottom w:val="single" w:sz="4" w:space="0" w:color="auto"/>
              <w:right w:val="single" w:sz="4" w:space="0" w:color="auto"/>
            </w:tcBorders>
            <w:shd w:val="clear" w:color="auto" w:fill="auto"/>
            <w:noWrap/>
            <w:vAlign w:val="center"/>
          </w:tcPr>
          <w:p w:rsidR="0046463C" w:rsidRPr="004B5347" w:rsidRDefault="00390D21" w:rsidP="0046463C">
            <w:pPr>
              <w:autoSpaceDE/>
              <w:autoSpaceDN/>
              <w:adjustRightInd/>
              <w:spacing w:after="0"/>
              <w:jc w:val="right"/>
              <w:rPr>
                <w:rFonts w:eastAsia="Times New Roman" w:cs="Arial"/>
                <w:lang w:eastAsia="en-GB"/>
              </w:rPr>
            </w:pPr>
            <w:r w:rsidRPr="004B5347">
              <w:rPr>
                <w:rFonts w:cs="Arial"/>
              </w:rPr>
              <w:t>2.035</w:t>
            </w:r>
          </w:p>
        </w:tc>
        <w:tc>
          <w:tcPr>
            <w:tcW w:w="1172" w:type="dxa"/>
            <w:tcBorders>
              <w:top w:val="nil"/>
              <w:left w:val="single" w:sz="4" w:space="0" w:color="auto"/>
              <w:bottom w:val="single" w:sz="4" w:space="0" w:color="auto"/>
              <w:right w:val="single" w:sz="4" w:space="0" w:color="auto"/>
            </w:tcBorders>
            <w:shd w:val="clear" w:color="auto" w:fill="auto"/>
            <w:noWrap/>
            <w:vAlign w:val="center"/>
          </w:tcPr>
          <w:p w:rsidR="0046463C" w:rsidRPr="007365D3" w:rsidRDefault="00390D21" w:rsidP="0046463C">
            <w:pPr>
              <w:autoSpaceDE/>
              <w:autoSpaceDN/>
              <w:adjustRightInd/>
              <w:spacing w:after="0"/>
              <w:jc w:val="right"/>
              <w:rPr>
                <w:rFonts w:eastAsia="Times New Roman" w:cs="Arial"/>
                <w:b/>
                <w:bCs/>
                <w:lang w:eastAsia="en-GB"/>
              </w:rPr>
            </w:pPr>
            <w:r w:rsidRPr="007365D3">
              <w:rPr>
                <w:rFonts w:cs="Arial"/>
                <w:b/>
              </w:rPr>
              <w:t>2.600</w:t>
            </w:r>
          </w:p>
        </w:tc>
      </w:tr>
      <w:tr w:rsidR="00C3717D" w:rsidTr="0046463C">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rsidR="0046463C" w:rsidRPr="0049468E" w:rsidRDefault="00390D21" w:rsidP="0046463C">
            <w:pPr>
              <w:autoSpaceDE/>
              <w:autoSpaceDN/>
              <w:adjustRightInd/>
              <w:spacing w:after="0"/>
              <w:jc w:val="left"/>
              <w:rPr>
                <w:rFonts w:eastAsia="Times New Roman" w:cs="Arial"/>
                <w:b/>
                <w:bCs/>
                <w:lang w:eastAsia="en-GB"/>
              </w:rPr>
            </w:pPr>
            <w:r w:rsidRPr="0049468E">
              <w:rPr>
                <w:rFonts w:eastAsia="Times New Roman" w:cs="Arial"/>
                <w:b/>
                <w:bCs/>
                <w:lang w:eastAsia="en-GB"/>
              </w:rPr>
              <w:t>Revised price inflation requirements</w:t>
            </w:r>
          </w:p>
        </w:tc>
        <w:tc>
          <w:tcPr>
            <w:tcW w:w="1172" w:type="dxa"/>
            <w:tcBorders>
              <w:top w:val="nil"/>
              <w:left w:val="single" w:sz="4" w:space="0" w:color="auto"/>
              <w:bottom w:val="single" w:sz="4" w:space="0" w:color="auto"/>
              <w:right w:val="single" w:sz="4" w:space="0" w:color="auto"/>
            </w:tcBorders>
            <w:shd w:val="clear" w:color="auto" w:fill="auto"/>
            <w:noWrap/>
            <w:vAlign w:val="center"/>
          </w:tcPr>
          <w:p w:rsidR="0046463C" w:rsidRPr="004B5347" w:rsidRDefault="00390D21" w:rsidP="0046463C">
            <w:pPr>
              <w:autoSpaceDE/>
              <w:autoSpaceDN/>
              <w:adjustRightInd/>
              <w:spacing w:after="0"/>
              <w:jc w:val="right"/>
              <w:rPr>
                <w:rFonts w:eastAsia="Times New Roman" w:cs="Arial"/>
                <w:b/>
                <w:bCs/>
                <w:lang w:eastAsia="en-GB"/>
              </w:rPr>
            </w:pPr>
            <w:r w:rsidRPr="004B5347">
              <w:rPr>
                <w:rFonts w:cs="Arial"/>
                <w:b/>
                <w:bCs/>
              </w:rPr>
              <w:t>18.655</w:t>
            </w:r>
          </w:p>
        </w:tc>
        <w:tc>
          <w:tcPr>
            <w:tcW w:w="1172" w:type="dxa"/>
            <w:tcBorders>
              <w:top w:val="nil"/>
              <w:left w:val="nil"/>
              <w:bottom w:val="single" w:sz="4" w:space="0" w:color="auto"/>
              <w:right w:val="single" w:sz="4" w:space="0" w:color="auto"/>
            </w:tcBorders>
            <w:shd w:val="clear" w:color="auto" w:fill="auto"/>
            <w:noWrap/>
            <w:vAlign w:val="center"/>
          </w:tcPr>
          <w:p w:rsidR="0046463C" w:rsidRPr="004B5347" w:rsidRDefault="00390D21" w:rsidP="0046463C">
            <w:pPr>
              <w:autoSpaceDE/>
              <w:autoSpaceDN/>
              <w:adjustRightInd/>
              <w:spacing w:after="0"/>
              <w:jc w:val="right"/>
              <w:rPr>
                <w:rFonts w:eastAsia="Times New Roman" w:cs="Arial"/>
                <w:b/>
                <w:bCs/>
                <w:lang w:eastAsia="en-GB"/>
              </w:rPr>
            </w:pPr>
            <w:r w:rsidRPr="004B5347">
              <w:rPr>
                <w:rFonts w:cs="Arial"/>
                <w:b/>
                <w:bCs/>
              </w:rPr>
              <w:t>21.606</w:t>
            </w:r>
          </w:p>
        </w:tc>
        <w:tc>
          <w:tcPr>
            <w:tcW w:w="1172" w:type="dxa"/>
            <w:tcBorders>
              <w:top w:val="nil"/>
              <w:left w:val="nil"/>
              <w:bottom w:val="single" w:sz="4" w:space="0" w:color="auto"/>
              <w:right w:val="single" w:sz="4" w:space="0" w:color="auto"/>
            </w:tcBorders>
            <w:shd w:val="clear" w:color="auto" w:fill="auto"/>
            <w:noWrap/>
            <w:vAlign w:val="center"/>
          </w:tcPr>
          <w:p w:rsidR="0046463C" w:rsidRPr="004B5347" w:rsidRDefault="00390D21" w:rsidP="0046463C">
            <w:pPr>
              <w:autoSpaceDE/>
              <w:autoSpaceDN/>
              <w:adjustRightInd/>
              <w:spacing w:after="0"/>
              <w:jc w:val="right"/>
              <w:rPr>
                <w:rFonts w:eastAsia="Times New Roman" w:cs="Arial"/>
                <w:b/>
                <w:bCs/>
                <w:lang w:eastAsia="en-GB"/>
              </w:rPr>
            </w:pPr>
            <w:r>
              <w:rPr>
                <w:rFonts w:cs="Arial"/>
                <w:b/>
                <w:bCs/>
              </w:rPr>
              <w:t>22.661</w:t>
            </w:r>
          </w:p>
        </w:tc>
        <w:tc>
          <w:tcPr>
            <w:tcW w:w="1172" w:type="dxa"/>
            <w:tcBorders>
              <w:top w:val="nil"/>
              <w:left w:val="single" w:sz="4" w:space="0" w:color="auto"/>
              <w:bottom w:val="single" w:sz="4" w:space="0" w:color="auto"/>
              <w:right w:val="single" w:sz="4" w:space="0" w:color="auto"/>
            </w:tcBorders>
            <w:shd w:val="clear" w:color="auto" w:fill="auto"/>
            <w:noWrap/>
            <w:vAlign w:val="center"/>
          </w:tcPr>
          <w:p w:rsidR="0046463C" w:rsidRPr="007365D3" w:rsidRDefault="00390D21" w:rsidP="0046463C">
            <w:pPr>
              <w:autoSpaceDE/>
              <w:autoSpaceDN/>
              <w:adjustRightInd/>
              <w:spacing w:after="0"/>
              <w:jc w:val="right"/>
              <w:rPr>
                <w:rFonts w:eastAsia="Times New Roman" w:cs="Arial"/>
                <w:b/>
                <w:bCs/>
                <w:lang w:eastAsia="en-GB"/>
              </w:rPr>
            </w:pPr>
            <w:r>
              <w:rPr>
                <w:rFonts w:cs="Arial"/>
                <w:b/>
              </w:rPr>
              <w:t>62.922</w:t>
            </w:r>
          </w:p>
        </w:tc>
      </w:tr>
      <w:tr w:rsidR="00C3717D" w:rsidTr="0046463C">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rsidR="0046463C" w:rsidRPr="00AE6F94" w:rsidRDefault="00390D21" w:rsidP="0046463C">
            <w:pPr>
              <w:autoSpaceDE/>
              <w:autoSpaceDN/>
              <w:adjustRightInd/>
              <w:spacing w:after="0"/>
              <w:rPr>
                <w:rFonts w:eastAsia="Times New Roman" w:cs="Arial"/>
                <w:lang w:eastAsia="en-GB"/>
              </w:rPr>
            </w:pPr>
            <w:r w:rsidRPr="00AE6F94">
              <w:rPr>
                <w:rFonts w:eastAsia="Times New Roman" w:cs="Arial"/>
                <w:lang w:eastAsia="en-GB"/>
              </w:rPr>
              <w:t> </w:t>
            </w:r>
          </w:p>
        </w:tc>
        <w:tc>
          <w:tcPr>
            <w:tcW w:w="1172" w:type="dxa"/>
            <w:tcBorders>
              <w:top w:val="nil"/>
              <w:left w:val="nil"/>
              <w:bottom w:val="single" w:sz="8" w:space="0" w:color="auto"/>
              <w:right w:val="single" w:sz="8" w:space="0" w:color="auto"/>
            </w:tcBorders>
            <w:shd w:val="clear" w:color="auto" w:fill="auto"/>
            <w:noWrap/>
            <w:vAlign w:val="center"/>
            <w:hideMark/>
          </w:tcPr>
          <w:p w:rsidR="0046463C" w:rsidRPr="00AE6F94" w:rsidRDefault="00390D21" w:rsidP="0046463C">
            <w:pPr>
              <w:autoSpaceDE/>
              <w:autoSpaceDN/>
              <w:adjustRightInd/>
              <w:spacing w:after="0"/>
              <w:jc w:val="right"/>
              <w:rPr>
                <w:rFonts w:eastAsia="Times New Roman" w:cs="Arial"/>
                <w:lang w:eastAsia="en-GB"/>
              </w:rPr>
            </w:pPr>
            <w:r w:rsidRPr="00AE6F94">
              <w:rPr>
                <w:rFonts w:eastAsia="Times New Roman" w:cs="Arial"/>
                <w:lang w:eastAsia="en-GB"/>
              </w:rPr>
              <w:t> </w:t>
            </w:r>
          </w:p>
        </w:tc>
        <w:tc>
          <w:tcPr>
            <w:tcW w:w="1172" w:type="dxa"/>
            <w:tcBorders>
              <w:top w:val="nil"/>
              <w:left w:val="nil"/>
              <w:bottom w:val="single" w:sz="8" w:space="0" w:color="auto"/>
              <w:right w:val="single" w:sz="8" w:space="0" w:color="auto"/>
            </w:tcBorders>
            <w:shd w:val="clear" w:color="auto" w:fill="auto"/>
            <w:noWrap/>
            <w:vAlign w:val="center"/>
            <w:hideMark/>
          </w:tcPr>
          <w:p w:rsidR="0046463C" w:rsidRPr="00AE6F94" w:rsidRDefault="00390D21" w:rsidP="0046463C">
            <w:pPr>
              <w:autoSpaceDE/>
              <w:autoSpaceDN/>
              <w:adjustRightInd/>
              <w:spacing w:after="0"/>
              <w:jc w:val="right"/>
              <w:rPr>
                <w:rFonts w:eastAsia="Times New Roman" w:cs="Arial"/>
                <w:b/>
                <w:bCs/>
                <w:lang w:eastAsia="en-GB"/>
              </w:rPr>
            </w:pPr>
            <w:r w:rsidRPr="00AE6F94">
              <w:rPr>
                <w:rFonts w:eastAsia="Times New Roman" w:cs="Arial"/>
                <w:b/>
                <w:bCs/>
                <w:lang w:eastAsia="en-GB"/>
              </w:rPr>
              <w:t> </w:t>
            </w:r>
          </w:p>
        </w:tc>
        <w:tc>
          <w:tcPr>
            <w:tcW w:w="1172" w:type="dxa"/>
            <w:tcBorders>
              <w:top w:val="nil"/>
              <w:left w:val="nil"/>
              <w:bottom w:val="single" w:sz="8" w:space="0" w:color="auto"/>
              <w:right w:val="single" w:sz="8" w:space="0" w:color="auto"/>
            </w:tcBorders>
            <w:shd w:val="clear" w:color="auto" w:fill="auto"/>
            <w:noWrap/>
            <w:vAlign w:val="center"/>
            <w:hideMark/>
          </w:tcPr>
          <w:p w:rsidR="0046463C" w:rsidRPr="00AE6F94" w:rsidRDefault="00390D21" w:rsidP="0046463C">
            <w:pPr>
              <w:autoSpaceDE/>
              <w:autoSpaceDN/>
              <w:adjustRightInd/>
              <w:spacing w:after="0"/>
              <w:jc w:val="right"/>
              <w:rPr>
                <w:rFonts w:eastAsia="Times New Roman" w:cs="Arial"/>
                <w:lang w:eastAsia="en-GB"/>
              </w:rPr>
            </w:pPr>
            <w:r w:rsidRPr="00AE6F94">
              <w:rPr>
                <w:rFonts w:eastAsia="Times New Roman" w:cs="Arial"/>
                <w:lang w:eastAsia="en-GB"/>
              </w:rPr>
              <w:t> </w:t>
            </w:r>
          </w:p>
        </w:tc>
        <w:tc>
          <w:tcPr>
            <w:tcW w:w="1172" w:type="dxa"/>
            <w:tcBorders>
              <w:top w:val="nil"/>
              <w:left w:val="nil"/>
              <w:bottom w:val="single" w:sz="8" w:space="0" w:color="auto"/>
              <w:right w:val="single" w:sz="8" w:space="0" w:color="auto"/>
            </w:tcBorders>
            <w:shd w:val="clear" w:color="auto" w:fill="auto"/>
            <w:noWrap/>
            <w:vAlign w:val="center"/>
            <w:hideMark/>
          </w:tcPr>
          <w:p w:rsidR="0046463C" w:rsidRPr="00AE6F94" w:rsidRDefault="00390D21" w:rsidP="0046463C">
            <w:pPr>
              <w:autoSpaceDE/>
              <w:autoSpaceDN/>
              <w:adjustRightInd/>
              <w:spacing w:after="0"/>
              <w:jc w:val="right"/>
              <w:rPr>
                <w:rFonts w:eastAsia="Times New Roman" w:cs="Arial"/>
                <w:b/>
                <w:bCs/>
                <w:lang w:eastAsia="en-GB"/>
              </w:rPr>
            </w:pPr>
            <w:r w:rsidRPr="00AE6F94">
              <w:rPr>
                <w:rFonts w:eastAsia="Times New Roman" w:cs="Arial"/>
                <w:b/>
                <w:bCs/>
                <w:lang w:eastAsia="en-GB"/>
              </w:rPr>
              <w:t> </w:t>
            </w:r>
          </w:p>
        </w:tc>
      </w:tr>
      <w:tr w:rsidR="00C3717D" w:rsidTr="0046463C">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rsidR="0046463C" w:rsidRPr="00AE6F94" w:rsidRDefault="00390D21" w:rsidP="0046463C">
            <w:pPr>
              <w:autoSpaceDE/>
              <w:autoSpaceDN/>
              <w:adjustRightInd/>
              <w:spacing w:after="0"/>
              <w:jc w:val="left"/>
              <w:rPr>
                <w:rFonts w:eastAsia="Times New Roman" w:cs="Arial"/>
                <w:b/>
                <w:bCs/>
                <w:lang w:eastAsia="en-GB"/>
              </w:rPr>
            </w:pPr>
            <w:r w:rsidRPr="00AE6F94">
              <w:rPr>
                <w:rFonts w:eastAsia="Times New Roman" w:cs="Arial"/>
                <w:b/>
                <w:bCs/>
                <w:lang w:eastAsia="en-GB"/>
              </w:rPr>
              <w:t>Price inflation – previous MTFS</w:t>
            </w:r>
          </w:p>
        </w:tc>
        <w:tc>
          <w:tcPr>
            <w:tcW w:w="1172" w:type="dxa"/>
            <w:tcBorders>
              <w:top w:val="nil"/>
              <w:left w:val="nil"/>
              <w:bottom w:val="single" w:sz="8" w:space="0" w:color="auto"/>
              <w:right w:val="single" w:sz="8" w:space="0" w:color="auto"/>
            </w:tcBorders>
            <w:shd w:val="clear" w:color="auto" w:fill="auto"/>
            <w:noWrap/>
            <w:vAlign w:val="center"/>
            <w:hideMark/>
          </w:tcPr>
          <w:p w:rsidR="0046463C" w:rsidRPr="00AE6F94" w:rsidRDefault="00390D21" w:rsidP="0046463C">
            <w:pPr>
              <w:autoSpaceDE/>
              <w:autoSpaceDN/>
              <w:adjustRightInd/>
              <w:spacing w:after="0"/>
              <w:jc w:val="right"/>
              <w:rPr>
                <w:rFonts w:eastAsia="Times New Roman" w:cs="Arial"/>
                <w:b/>
                <w:bCs/>
                <w:lang w:eastAsia="en-GB"/>
              </w:rPr>
            </w:pPr>
            <w:r>
              <w:rPr>
                <w:rFonts w:eastAsia="Times New Roman" w:cs="Arial"/>
                <w:b/>
                <w:bCs/>
                <w:lang w:eastAsia="en-GB"/>
              </w:rPr>
              <w:t>21.193</w:t>
            </w:r>
          </w:p>
        </w:tc>
        <w:tc>
          <w:tcPr>
            <w:tcW w:w="1172" w:type="dxa"/>
            <w:tcBorders>
              <w:top w:val="nil"/>
              <w:left w:val="nil"/>
              <w:bottom w:val="single" w:sz="8" w:space="0" w:color="auto"/>
              <w:right w:val="single" w:sz="8" w:space="0" w:color="auto"/>
            </w:tcBorders>
            <w:shd w:val="clear" w:color="auto" w:fill="auto"/>
            <w:noWrap/>
            <w:vAlign w:val="center"/>
            <w:hideMark/>
          </w:tcPr>
          <w:p w:rsidR="0046463C" w:rsidRPr="00AE6F94" w:rsidRDefault="00390D21" w:rsidP="0046463C">
            <w:pPr>
              <w:autoSpaceDE/>
              <w:autoSpaceDN/>
              <w:adjustRightInd/>
              <w:spacing w:after="0"/>
              <w:jc w:val="right"/>
              <w:rPr>
                <w:rFonts w:eastAsia="Times New Roman" w:cs="Arial"/>
                <w:b/>
                <w:bCs/>
                <w:lang w:eastAsia="en-GB"/>
              </w:rPr>
            </w:pPr>
            <w:r>
              <w:rPr>
                <w:rFonts w:eastAsia="Times New Roman" w:cs="Arial"/>
                <w:b/>
                <w:bCs/>
                <w:lang w:eastAsia="en-GB"/>
              </w:rPr>
              <w:t>21.465</w:t>
            </w:r>
          </w:p>
        </w:tc>
        <w:tc>
          <w:tcPr>
            <w:tcW w:w="1172" w:type="dxa"/>
            <w:tcBorders>
              <w:top w:val="nil"/>
              <w:left w:val="nil"/>
              <w:bottom w:val="single" w:sz="8" w:space="0" w:color="auto"/>
              <w:right w:val="single" w:sz="8" w:space="0" w:color="auto"/>
            </w:tcBorders>
            <w:shd w:val="clear" w:color="auto" w:fill="auto"/>
            <w:noWrap/>
            <w:vAlign w:val="center"/>
            <w:hideMark/>
          </w:tcPr>
          <w:p w:rsidR="0046463C" w:rsidRPr="00AE6F94" w:rsidRDefault="00390D21" w:rsidP="0046463C">
            <w:pPr>
              <w:autoSpaceDE/>
              <w:autoSpaceDN/>
              <w:adjustRightInd/>
              <w:spacing w:after="0"/>
              <w:jc w:val="right"/>
              <w:rPr>
                <w:rFonts w:eastAsia="Times New Roman" w:cs="Arial"/>
                <w:b/>
                <w:bCs/>
                <w:lang w:eastAsia="en-GB"/>
              </w:rPr>
            </w:pPr>
            <w:r>
              <w:rPr>
                <w:rFonts w:eastAsia="Times New Roman" w:cs="Arial"/>
                <w:b/>
                <w:bCs/>
                <w:lang w:eastAsia="en-GB"/>
              </w:rPr>
              <w:t>23.400</w:t>
            </w:r>
          </w:p>
        </w:tc>
        <w:tc>
          <w:tcPr>
            <w:tcW w:w="1172" w:type="dxa"/>
            <w:tcBorders>
              <w:top w:val="nil"/>
              <w:left w:val="nil"/>
              <w:bottom w:val="single" w:sz="8" w:space="0" w:color="auto"/>
              <w:right w:val="single" w:sz="8" w:space="0" w:color="auto"/>
            </w:tcBorders>
            <w:shd w:val="clear" w:color="auto" w:fill="auto"/>
            <w:noWrap/>
            <w:vAlign w:val="center"/>
            <w:hideMark/>
          </w:tcPr>
          <w:p w:rsidR="0046463C" w:rsidRPr="00AE6F94" w:rsidRDefault="00390D21" w:rsidP="0046463C">
            <w:pPr>
              <w:autoSpaceDE/>
              <w:autoSpaceDN/>
              <w:adjustRightInd/>
              <w:spacing w:after="0"/>
              <w:jc w:val="right"/>
              <w:rPr>
                <w:rFonts w:eastAsia="Times New Roman" w:cs="Arial"/>
                <w:b/>
                <w:bCs/>
                <w:lang w:eastAsia="en-GB"/>
              </w:rPr>
            </w:pPr>
            <w:r>
              <w:rPr>
                <w:rFonts w:eastAsia="Times New Roman" w:cs="Arial"/>
                <w:b/>
                <w:bCs/>
                <w:lang w:eastAsia="en-GB"/>
              </w:rPr>
              <w:t>66.058</w:t>
            </w:r>
          </w:p>
        </w:tc>
      </w:tr>
      <w:tr w:rsidR="00C3717D" w:rsidTr="0046463C">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rsidR="0046463C" w:rsidRPr="00AE6F94" w:rsidRDefault="00390D21" w:rsidP="0046463C">
            <w:pPr>
              <w:autoSpaceDE/>
              <w:autoSpaceDN/>
              <w:adjustRightInd/>
              <w:spacing w:after="0"/>
              <w:rPr>
                <w:rFonts w:eastAsia="Times New Roman" w:cs="Arial"/>
                <w:lang w:eastAsia="en-GB"/>
              </w:rPr>
            </w:pPr>
            <w:r w:rsidRPr="00AE6F94">
              <w:rPr>
                <w:rFonts w:eastAsia="Times New Roman" w:cs="Arial"/>
                <w:lang w:eastAsia="en-GB"/>
              </w:rPr>
              <w:t> </w:t>
            </w:r>
          </w:p>
        </w:tc>
        <w:tc>
          <w:tcPr>
            <w:tcW w:w="1172" w:type="dxa"/>
            <w:tcBorders>
              <w:top w:val="nil"/>
              <w:left w:val="nil"/>
              <w:bottom w:val="single" w:sz="8" w:space="0" w:color="auto"/>
              <w:right w:val="single" w:sz="8" w:space="0" w:color="auto"/>
            </w:tcBorders>
            <w:shd w:val="clear" w:color="auto" w:fill="auto"/>
            <w:noWrap/>
            <w:vAlign w:val="center"/>
            <w:hideMark/>
          </w:tcPr>
          <w:p w:rsidR="0046463C" w:rsidRPr="00AE6F94" w:rsidRDefault="00390D21" w:rsidP="0046463C">
            <w:pPr>
              <w:autoSpaceDE/>
              <w:autoSpaceDN/>
              <w:adjustRightInd/>
              <w:spacing w:after="0"/>
              <w:jc w:val="right"/>
              <w:rPr>
                <w:rFonts w:eastAsia="Times New Roman" w:cs="Arial"/>
                <w:lang w:eastAsia="en-GB"/>
              </w:rPr>
            </w:pPr>
            <w:r w:rsidRPr="00AE6F94">
              <w:rPr>
                <w:rFonts w:eastAsia="Times New Roman" w:cs="Arial"/>
                <w:lang w:eastAsia="en-GB"/>
              </w:rPr>
              <w:t> </w:t>
            </w:r>
          </w:p>
        </w:tc>
        <w:tc>
          <w:tcPr>
            <w:tcW w:w="1172" w:type="dxa"/>
            <w:tcBorders>
              <w:top w:val="nil"/>
              <w:left w:val="nil"/>
              <w:bottom w:val="single" w:sz="8" w:space="0" w:color="auto"/>
              <w:right w:val="single" w:sz="8" w:space="0" w:color="auto"/>
            </w:tcBorders>
            <w:shd w:val="clear" w:color="auto" w:fill="auto"/>
            <w:noWrap/>
            <w:vAlign w:val="center"/>
            <w:hideMark/>
          </w:tcPr>
          <w:p w:rsidR="0046463C" w:rsidRPr="00AE6F94" w:rsidRDefault="00390D21" w:rsidP="0046463C">
            <w:pPr>
              <w:autoSpaceDE/>
              <w:autoSpaceDN/>
              <w:adjustRightInd/>
              <w:spacing w:after="0"/>
              <w:jc w:val="right"/>
              <w:rPr>
                <w:rFonts w:eastAsia="Times New Roman" w:cs="Arial"/>
                <w:b/>
                <w:bCs/>
                <w:lang w:eastAsia="en-GB"/>
              </w:rPr>
            </w:pPr>
            <w:r w:rsidRPr="00AE6F94">
              <w:rPr>
                <w:rFonts w:eastAsia="Times New Roman" w:cs="Arial"/>
                <w:b/>
                <w:bCs/>
                <w:lang w:eastAsia="en-GB"/>
              </w:rPr>
              <w:t> </w:t>
            </w:r>
          </w:p>
        </w:tc>
        <w:tc>
          <w:tcPr>
            <w:tcW w:w="1172" w:type="dxa"/>
            <w:tcBorders>
              <w:top w:val="nil"/>
              <w:left w:val="nil"/>
              <w:bottom w:val="single" w:sz="8" w:space="0" w:color="auto"/>
              <w:right w:val="single" w:sz="8" w:space="0" w:color="auto"/>
            </w:tcBorders>
            <w:shd w:val="clear" w:color="auto" w:fill="auto"/>
            <w:noWrap/>
            <w:vAlign w:val="center"/>
            <w:hideMark/>
          </w:tcPr>
          <w:p w:rsidR="0046463C" w:rsidRPr="00AE6F94" w:rsidRDefault="00390D21" w:rsidP="0046463C">
            <w:pPr>
              <w:autoSpaceDE/>
              <w:autoSpaceDN/>
              <w:adjustRightInd/>
              <w:spacing w:after="0"/>
              <w:jc w:val="right"/>
              <w:rPr>
                <w:rFonts w:eastAsia="Times New Roman" w:cs="Arial"/>
                <w:lang w:eastAsia="en-GB"/>
              </w:rPr>
            </w:pPr>
            <w:r w:rsidRPr="00AE6F94">
              <w:rPr>
                <w:rFonts w:eastAsia="Times New Roman" w:cs="Arial"/>
                <w:lang w:eastAsia="en-GB"/>
              </w:rPr>
              <w:t> </w:t>
            </w:r>
          </w:p>
        </w:tc>
        <w:tc>
          <w:tcPr>
            <w:tcW w:w="1172" w:type="dxa"/>
            <w:tcBorders>
              <w:top w:val="nil"/>
              <w:left w:val="nil"/>
              <w:bottom w:val="single" w:sz="8" w:space="0" w:color="auto"/>
              <w:right w:val="single" w:sz="8" w:space="0" w:color="auto"/>
            </w:tcBorders>
            <w:shd w:val="clear" w:color="auto" w:fill="auto"/>
            <w:noWrap/>
            <w:vAlign w:val="center"/>
            <w:hideMark/>
          </w:tcPr>
          <w:p w:rsidR="0046463C" w:rsidRPr="00AE6F94" w:rsidRDefault="00390D21" w:rsidP="0046463C">
            <w:pPr>
              <w:autoSpaceDE/>
              <w:autoSpaceDN/>
              <w:adjustRightInd/>
              <w:spacing w:after="0"/>
              <w:jc w:val="right"/>
              <w:rPr>
                <w:rFonts w:eastAsia="Times New Roman" w:cs="Arial"/>
                <w:b/>
                <w:bCs/>
                <w:lang w:eastAsia="en-GB"/>
              </w:rPr>
            </w:pPr>
            <w:r w:rsidRPr="00AE6F94">
              <w:rPr>
                <w:rFonts w:eastAsia="Times New Roman" w:cs="Arial"/>
                <w:b/>
                <w:bCs/>
                <w:lang w:eastAsia="en-GB"/>
              </w:rPr>
              <w:t> </w:t>
            </w:r>
          </w:p>
        </w:tc>
      </w:tr>
      <w:tr w:rsidR="00C3717D" w:rsidTr="0046463C">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rsidR="0046463C" w:rsidRPr="00AE6F94" w:rsidRDefault="00390D21" w:rsidP="0046463C">
            <w:pPr>
              <w:autoSpaceDE/>
              <w:autoSpaceDN/>
              <w:adjustRightInd/>
              <w:spacing w:after="0"/>
              <w:rPr>
                <w:rFonts w:eastAsia="Times New Roman" w:cs="Arial"/>
                <w:b/>
                <w:bCs/>
                <w:lang w:eastAsia="en-GB"/>
              </w:rPr>
            </w:pPr>
            <w:r w:rsidRPr="00AE6F94">
              <w:rPr>
                <w:rFonts w:eastAsia="Times New Roman" w:cs="Arial"/>
                <w:b/>
                <w:bCs/>
                <w:lang w:eastAsia="en-GB"/>
              </w:rPr>
              <w:t>Variance</w:t>
            </w:r>
          </w:p>
        </w:tc>
        <w:tc>
          <w:tcPr>
            <w:tcW w:w="1172" w:type="dxa"/>
            <w:tcBorders>
              <w:top w:val="nil"/>
              <w:left w:val="nil"/>
              <w:bottom w:val="single" w:sz="8" w:space="0" w:color="auto"/>
              <w:right w:val="single" w:sz="8" w:space="0" w:color="auto"/>
            </w:tcBorders>
            <w:shd w:val="clear" w:color="auto" w:fill="auto"/>
            <w:noWrap/>
            <w:vAlign w:val="center"/>
          </w:tcPr>
          <w:p w:rsidR="0046463C" w:rsidRPr="00AE6F94" w:rsidRDefault="00390D21" w:rsidP="0046463C">
            <w:pPr>
              <w:autoSpaceDE/>
              <w:autoSpaceDN/>
              <w:adjustRightInd/>
              <w:spacing w:after="0"/>
              <w:jc w:val="right"/>
              <w:rPr>
                <w:rFonts w:eastAsia="Times New Roman" w:cs="Arial"/>
                <w:b/>
                <w:bCs/>
                <w:lang w:eastAsia="en-GB"/>
              </w:rPr>
            </w:pPr>
            <w:r>
              <w:rPr>
                <w:rFonts w:eastAsia="Times New Roman" w:cs="Arial"/>
                <w:b/>
                <w:bCs/>
                <w:lang w:eastAsia="en-GB"/>
              </w:rPr>
              <w:t>-2.538</w:t>
            </w:r>
          </w:p>
        </w:tc>
        <w:tc>
          <w:tcPr>
            <w:tcW w:w="1172" w:type="dxa"/>
            <w:tcBorders>
              <w:top w:val="nil"/>
              <w:left w:val="nil"/>
              <w:bottom w:val="single" w:sz="8" w:space="0" w:color="auto"/>
              <w:right w:val="single" w:sz="8" w:space="0" w:color="auto"/>
            </w:tcBorders>
            <w:shd w:val="clear" w:color="auto" w:fill="auto"/>
            <w:noWrap/>
            <w:vAlign w:val="center"/>
          </w:tcPr>
          <w:p w:rsidR="0046463C" w:rsidRPr="00AE6F94" w:rsidRDefault="00390D21" w:rsidP="0046463C">
            <w:pPr>
              <w:autoSpaceDE/>
              <w:autoSpaceDN/>
              <w:adjustRightInd/>
              <w:spacing w:after="0"/>
              <w:jc w:val="right"/>
              <w:rPr>
                <w:rFonts w:eastAsia="Times New Roman" w:cs="Arial"/>
                <w:b/>
                <w:bCs/>
                <w:lang w:eastAsia="en-GB"/>
              </w:rPr>
            </w:pPr>
            <w:r>
              <w:rPr>
                <w:rFonts w:eastAsia="Times New Roman" w:cs="Arial"/>
                <w:b/>
                <w:bCs/>
                <w:lang w:eastAsia="en-GB"/>
              </w:rPr>
              <w:t>0.141</w:t>
            </w:r>
          </w:p>
        </w:tc>
        <w:tc>
          <w:tcPr>
            <w:tcW w:w="1172" w:type="dxa"/>
            <w:tcBorders>
              <w:top w:val="nil"/>
              <w:left w:val="nil"/>
              <w:bottom w:val="single" w:sz="8" w:space="0" w:color="auto"/>
              <w:right w:val="single" w:sz="8" w:space="0" w:color="auto"/>
            </w:tcBorders>
            <w:shd w:val="clear" w:color="auto" w:fill="auto"/>
            <w:noWrap/>
            <w:vAlign w:val="center"/>
          </w:tcPr>
          <w:p w:rsidR="0046463C" w:rsidRPr="00AE6F94" w:rsidRDefault="00390D21" w:rsidP="0046463C">
            <w:pPr>
              <w:autoSpaceDE/>
              <w:autoSpaceDN/>
              <w:adjustRightInd/>
              <w:spacing w:after="0"/>
              <w:jc w:val="right"/>
              <w:rPr>
                <w:rFonts w:eastAsia="Times New Roman" w:cs="Arial"/>
                <w:b/>
                <w:bCs/>
                <w:lang w:eastAsia="en-GB"/>
              </w:rPr>
            </w:pPr>
            <w:r>
              <w:rPr>
                <w:rFonts w:eastAsia="Times New Roman" w:cs="Arial"/>
                <w:b/>
                <w:bCs/>
                <w:lang w:eastAsia="en-GB"/>
              </w:rPr>
              <w:t>-0.739</w:t>
            </w:r>
          </w:p>
        </w:tc>
        <w:tc>
          <w:tcPr>
            <w:tcW w:w="1172" w:type="dxa"/>
            <w:tcBorders>
              <w:top w:val="nil"/>
              <w:left w:val="nil"/>
              <w:bottom w:val="single" w:sz="8" w:space="0" w:color="auto"/>
              <w:right w:val="single" w:sz="8" w:space="0" w:color="auto"/>
            </w:tcBorders>
            <w:shd w:val="clear" w:color="auto" w:fill="auto"/>
            <w:noWrap/>
            <w:vAlign w:val="center"/>
          </w:tcPr>
          <w:p w:rsidR="0046463C" w:rsidRPr="00AE6F94" w:rsidRDefault="00390D21" w:rsidP="0046463C">
            <w:pPr>
              <w:autoSpaceDE/>
              <w:autoSpaceDN/>
              <w:adjustRightInd/>
              <w:spacing w:after="0"/>
              <w:jc w:val="right"/>
              <w:rPr>
                <w:rFonts w:eastAsia="Times New Roman" w:cs="Arial"/>
                <w:b/>
                <w:bCs/>
                <w:lang w:eastAsia="en-GB"/>
              </w:rPr>
            </w:pPr>
            <w:r>
              <w:rPr>
                <w:rFonts w:eastAsia="Times New Roman" w:cs="Arial"/>
                <w:b/>
                <w:bCs/>
                <w:lang w:eastAsia="en-GB"/>
              </w:rPr>
              <w:t>-3.136</w:t>
            </w:r>
          </w:p>
        </w:tc>
      </w:tr>
    </w:tbl>
    <w:p w:rsidR="0046463C" w:rsidRPr="00E95F45" w:rsidRDefault="00390D21" w:rsidP="0046463C">
      <w:pPr>
        <w:spacing w:after="0"/>
        <w:rPr>
          <w:rFonts w:cs="Arial"/>
          <w:highlight w:val="yellow"/>
        </w:rPr>
      </w:pPr>
    </w:p>
    <w:p w:rsidR="0046463C" w:rsidRPr="007365D3" w:rsidRDefault="00390D21" w:rsidP="0046463C">
      <w:pPr>
        <w:tabs>
          <w:tab w:val="left" w:pos="567"/>
          <w:tab w:val="left" w:pos="1134"/>
        </w:tabs>
        <w:spacing w:after="0"/>
        <w:rPr>
          <w:rFonts w:cs="Arial"/>
          <w:b/>
        </w:rPr>
      </w:pPr>
      <w:r w:rsidRPr="007365D3">
        <w:rPr>
          <w:rFonts w:cs="Arial"/>
          <w:b/>
        </w:rPr>
        <w:t>3.3</w:t>
      </w:r>
      <w:r w:rsidRPr="007365D3">
        <w:rPr>
          <w:rFonts w:cs="Arial"/>
          <w:b/>
        </w:rPr>
        <w:tab/>
        <w:t>Demand pressures</w:t>
      </w:r>
    </w:p>
    <w:p w:rsidR="0046463C" w:rsidRPr="00AE6F94" w:rsidRDefault="00390D21" w:rsidP="0046463C">
      <w:pPr>
        <w:tabs>
          <w:tab w:val="left" w:pos="567"/>
          <w:tab w:val="left" w:pos="1134"/>
        </w:tabs>
        <w:spacing w:after="0"/>
        <w:rPr>
          <w:rFonts w:cs="Arial"/>
        </w:rPr>
      </w:pPr>
      <w:r w:rsidRPr="007365D3">
        <w:rPr>
          <w:rFonts w:cs="Arial"/>
        </w:rPr>
        <w:t xml:space="preserve">All services have reviewed the demand pressures they face in future years and increasing demand still </w:t>
      </w:r>
      <w:r w:rsidRPr="007365D3">
        <w:rPr>
          <w:rFonts w:cs="Arial"/>
        </w:rPr>
        <w:t>remains a significant element of the funding gap.</w:t>
      </w:r>
      <w:r w:rsidRPr="00AE6F94">
        <w:rPr>
          <w:rFonts w:cs="Arial"/>
        </w:rPr>
        <w:t xml:space="preserve"> </w:t>
      </w:r>
    </w:p>
    <w:p w:rsidR="0046463C" w:rsidRPr="00E95F45" w:rsidRDefault="00390D21" w:rsidP="0046463C">
      <w:pPr>
        <w:tabs>
          <w:tab w:val="left" w:pos="567"/>
          <w:tab w:val="left" w:pos="1134"/>
        </w:tabs>
        <w:spacing w:after="0"/>
        <w:rPr>
          <w:rFonts w:cs="Arial"/>
          <w:highlight w:val="yellow"/>
        </w:rPr>
      </w:pPr>
    </w:p>
    <w:p w:rsidR="0046463C" w:rsidRPr="00AE6F94" w:rsidRDefault="00390D21" w:rsidP="0046463C">
      <w:pPr>
        <w:tabs>
          <w:tab w:val="left" w:pos="567"/>
          <w:tab w:val="left" w:pos="1134"/>
        </w:tabs>
        <w:spacing w:after="0"/>
        <w:rPr>
          <w:rFonts w:cs="Arial"/>
          <w:b/>
          <w:i/>
          <w:u w:val="single"/>
        </w:rPr>
      </w:pPr>
      <w:r w:rsidRPr="00AE6F94">
        <w:rPr>
          <w:rFonts w:cs="Arial"/>
          <w:b/>
          <w:i/>
          <w:u w:val="single"/>
        </w:rPr>
        <w:t>Table 6</w:t>
      </w:r>
    </w:p>
    <w:p w:rsidR="0046463C" w:rsidRPr="00E95F45" w:rsidRDefault="00390D21" w:rsidP="0046463C">
      <w:pPr>
        <w:tabs>
          <w:tab w:val="left" w:pos="567"/>
          <w:tab w:val="left" w:pos="1134"/>
        </w:tabs>
        <w:spacing w:after="0"/>
        <w:rPr>
          <w:rFonts w:cs="Arial"/>
          <w:highlight w:val="yellow"/>
        </w:rPr>
      </w:pPr>
    </w:p>
    <w:tbl>
      <w:tblPr>
        <w:tblW w:w="9012" w:type="dxa"/>
        <w:tblInd w:w="-10" w:type="dxa"/>
        <w:tblLook w:val="04A0" w:firstRow="1" w:lastRow="0" w:firstColumn="1" w:lastColumn="0" w:noHBand="0" w:noVBand="1"/>
      </w:tblPr>
      <w:tblGrid>
        <w:gridCol w:w="4288"/>
        <w:gridCol w:w="1181"/>
        <w:gridCol w:w="1181"/>
        <w:gridCol w:w="1181"/>
        <w:gridCol w:w="1181"/>
      </w:tblGrid>
      <w:tr w:rsidR="00C3717D" w:rsidTr="0046463C">
        <w:trPr>
          <w:trHeight w:val="271"/>
        </w:trPr>
        <w:tc>
          <w:tcPr>
            <w:tcW w:w="4288"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46463C" w:rsidRPr="00D36C8A" w:rsidRDefault="00390D21" w:rsidP="0046463C">
            <w:pPr>
              <w:autoSpaceDE/>
              <w:autoSpaceDN/>
              <w:adjustRightInd/>
              <w:spacing w:after="0"/>
              <w:rPr>
                <w:rFonts w:eastAsia="Times New Roman" w:cs="Arial"/>
                <w:lang w:eastAsia="en-GB"/>
              </w:rPr>
            </w:pPr>
            <w:r w:rsidRPr="00D36C8A">
              <w:rPr>
                <w:rFonts w:eastAsia="Times New Roman" w:cs="Arial"/>
                <w:lang w:eastAsia="en-GB"/>
              </w:rPr>
              <w:t> </w:t>
            </w:r>
          </w:p>
        </w:tc>
        <w:tc>
          <w:tcPr>
            <w:tcW w:w="1181" w:type="dxa"/>
            <w:tcBorders>
              <w:top w:val="single" w:sz="8" w:space="0" w:color="auto"/>
              <w:left w:val="nil"/>
              <w:bottom w:val="nil"/>
              <w:right w:val="single" w:sz="8" w:space="0" w:color="auto"/>
            </w:tcBorders>
            <w:shd w:val="clear" w:color="000000" w:fill="BFBFBF"/>
            <w:noWrap/>
            <w:vAlign w:val="center"/>
            <w:hideMark/>
          </w:tcPr>
          <w:p w:rsidR="0046463C" w:rsidRPr="00D36C8A" w:rsidRDefault="00390D21" w:rsidP="0046463C">
            <w:pPr>
              <w:autoSpaceDE/>
              <w:autoSpaceDN/>
              <w:adjustRightInd/>
              <w:spacing w:after="0"/>
              <w:jc w:val="center"/>
              <w:rPr>
                <w:rFonts w:eastAsia="Times New Roman" w:cs="Arial"/>
                <w:b/>
                <w:bCs/>
                <w:lang w:eastAsia="en-GB"/>
              </w:rPr>
            </w:pPr>
            <w:r w:rsidRPr="00D36C8A">
              <w:rPr>
                <w:rFonts w:eastAsia="Times New Roman" w:cs="Arial"/>
                <w:b/>
                <w:bCs/>
                <w:lang w:eastAsia="en-GB"/>
              </w:rPr>
              <w:t>2021/22</w:t>
            </w:r>
          </w:p>
        </w:tc>
        <w:tc>
          <w:tcPr>
            <w:tcW w:w="1181" w:type="dxa"/>
            <w:tcBorders>
              <w:top w:val="single" w:sz="8" w:space="0" w:color="auto"/>
              <w:left w:val="nil"/>
              <w:bottom w:val="nil"/>
              <w:right w:val="single" w:sz="8" w:space="0" w:color="auto"/>
            </w:tcBorders>
            <w:shd w:val="clear" w:color="000000" w:fill="BFBFBF"/>
            <w:noWrap/>
            <w:vAlign w:val="center"/>
            <w:hideMark/>
          </w:tcPr>
          <w:p w:rsidR="0046463C" w:rsidRPr="00D36C8A" w:rsidRDefault="00390D21" w:rsidP="0046463C">
            <w:pPr>
              <w:autoSpaceDE/>
              <w:autoSpaceDN/>
              <w:adjustRightInd/>
              <w:spacing w:after="0"/>
              <w:jc w:val="center"/>
              <w:rPr>
                <w:rFonts w:eastAsia="Times New Roman" w:cs="Arial"/>
                <w:b/>
                <w:bCs/>
                <w:lang w:eastAsia="en-GB"/>
              </w:rPr>
            </w:pPr>
            <w:r w:rsidRPr="00D36C8A">
              <w:rPr>
                <w:rFonts w:eastAsia="Times New Roman" w:cs="Arial"/>
                <w:b/>
                <w:bCs/>
                <w:lang w:eastAsia="en-GB"/>
              </w:rPr>
              <w:t>2022/23</w:t>
            </w:r>
          </w:p>
        </w:tc>
        <w:tc>
          <w:tcPr>
            <w:tcW w:w="1181" w:type="dxa"/>
            <w:tcBorders>
              <w:top w:val="single" w:sz="8" w:space="0" w:color="auto"/>
              <w:left w:val="nil"/>
              <w:bottom w:val="nil"/>
              <w:right w:val="single" w:sz="8" w:space="0" w:color="auto"/>
            </w:tcBorders>
            <w:shd w:val="clear" w:color="000000" w:fill="BFBFBF"/>
            <w:noWrap/>
            <w:vAlign w:val="center"/>
            <w:hideMark/>
          </w:tcPr>
          <w:p w:rsidR="0046463C" w:rsidRPr="00D36C8A" w:rsidRDefault="00390D21" w:rsidP="0046463C">
            <w:pPr>
              <w:autoSpaceDE/>
              <w:autoSpaceDN/>
              <w:adjustRightInd/>
              <w:spacing w:after="0"/>
              <w:jc w:val="center"/>
              <w:rPr>
                <w:rFonts w:eastAsia="Times New Roman" w:cs="Arial"/>
                <w:b/>
                <w:bCs/>
                <w:lang w:eastAsia="en-GB"/>
              </w:rPr>
            </w:pPr>
            <w:r w:rsidRPr="00D36C8A">
              <w:rPr>
                <w:rFonts w:eastAsia="Times New Roman" w:cs="Arial"/>
                <w:b/>
                <w:bCs/>
                <w:lang w:eastAsia="en-GB"/>
              </w:rPr>
              <w:t>2023/24</w:t>
            </w:r>
          </w:p>
        </w:tc>
        <w:tc>
          <w:tcPr>
            <w:tcW w:w="1181" w:type="dxa"/>
            <w:tcBorders>
              <w:top w:val="single" w:sz="8" w:space="0" w:color="auto"/>
              <w:left w:val="nil"/>
              <w:bottom w:val="nil"/>
              <w:right w:val="single" w:sz="8" w:space="0" w:color="auto"/>
            </w:tcBorders>
            <w:shd w:val="clear" w:color="000000" w:fill="BFBFBF"/>
            <w:noWrap/>
            <w:vAlign w:val="center"/>
            <w:hideMark/>
          </w:tcPr>
          <w:p w:rsidR="0046463C" w:rsidRPr="00D36C8A" w:rsidRDefault="00390D21" w:rsidP="0046463C">
            <w:pPr>
              <w:autoSpaceDE/>
              <w:autoSpaceDN/>
              <w:adjustRightInd/>
              <w:spacing w:after="0"/>
              <w:jc w:val="center"/>
              <w:rPr>
                <w:rFonts w:eastAsia="Times New Roman" w:cs="Arial"/>
                <w:b/>
                <w:bCs/>
                <w:lang w:eastAsia="en-GB"/>
              </w:rPr>
            </w:pPr>
            <w:r w:rsidRPr="00D36C8A">
              <w:rPr>
                <w:rFonts w:eastAsia="Times New Roman" w:cs="Arial"/>
                <w:b/>
                <w:bCs/>
                <w:lang w:eastAsia="en-GB"/>
              </w:rPr>
              <w:t>Total</w:t>
            </w:r>
          </w:p>
        </w:tc>
      </w:tr>
      <w:tr w:rsidR="00C3717D" w:rsidTr="0046463C">
        <w:trPr>
          <w:trHeight w:val="280"/>
        </w:trPr>
        <w:tc>
          <w:tcPr>
            <w:tcW w:w="4288" w:type="dxa"/>
            <w:vMerge/>
            <w:tcBorders>
              <w:top w:val="single" w:sz="8" w:space="0" w:color="auto"/>
              <w:left w:val="single" w:sz="8" w:space="0" w:color="auto"/>
              <w:bottom w:val="single" w:sz="8" w:space="0" w:color="000000"/>
              <w:right w:val="single" w:sz="8" w:space="0" w:color="auto"/>
            </w:tcBorders>
            <w:vAlign w:val="center"/>
            <w:hideMark/>
          </w:tcPr>
          <w:p w:rsidR="0046463C" w:rsidRPr="00D36C8A" w:rsidRDefault="00390D21" w:rsidP="0046463C">
            <w:pPr>
              <w:autoSpaceDE/>
              <w:autoSpaceDN/>
              <w:adjustRightInd/>
              <w:spacing w:after="0"/>
              <w:jc w:val="left"/>
              <w:rPr>
                <w:rFonts w:eastAsia="Times New Roman" w:cs="Arial"/>
                <w:lang w:eastAsia="en-GB"/>
              </w:rPr>
            </w:pPr>
          </w:p>
        </w:tc>
        <w:tc>
          <w:tcPr>
            <w:tcW w:w="1181" w:type="dxa"/>
            <w:tcBorders>
              <w:top w:val="nil"/>
              <w:left w:val="nil"/>
              <w:bottom w:val="single" w:sz="8" w:space="0" w:color="auto"/>
              <w:right w:val="single" w:sz="8" w:space="0" w:color="auto"/>
            </w:tcBorders>
            <w:shd w:val="clear" w:color="000000" w:fill="BFBFBF"/>
            <w:noWrap/>
            <w:vAlign w:val="center"/>
            <w:hideMark/>
          </w:tcPr>
          <w:p w:rsidR="0046463C" w:rsidRPr="00D36C8A" w:rsidRDefault="00390D21" w:rsidP="0046463C">
            <w:pPr>
              <w:autoSpaceDE/>
              <w:autoSpaceDN/>
              <w:adjustRightInd/>
              <w:spacing w:after="0"/>
              <w:jc w:val="center"/>
              <w:rPr>
                <w:rFonts w:eastAsia="Times New Roman" w:cs="Arial"/>
                <w:b/>
                <w:bCs/>
                <w:lang w:eastAsia="en-GB"/>
              </w:rPr>
            </w:pPr>
            <w:r w:rsidRPr="00D36C8A">
              <w:rPr>
                <w:rFonts w:eastAsia="Times New Roman" w:cs="Arial"/>
                <w:b/>
                <w:bCs/>
                <w:lang w:eastAsia="en-GB"/>
              </w:rPr>
              <w:t>£m</w:t>
            </w:r>
          </w:p>
        </w:tc>
        <w:tc>
          <w:tcPr>
            <w:tcW w:w="1181" w:type="dxa"/>
            <w:tcBorders>
              <w:top w:val="nil"/>
              <w:left w:val="nil"/>
              <w:bottom w:val="single" w:sz="8" w:space="0" w:color="auto"/>
              <w:right w:val="single" w:sz="8" w:space="0" w:color="auto"/>
            </w:tcBorders>
            <w:shd w:val="clear" w:color="000000" w:fill="BFBFBF"/>
            <w:noWrap/>
            <w:vAlign w:val="center"/>
            <w:hideMark/>
          </w:tcPr>
          <w:p w:rsidR="0046463C" w:rsidRPr="00D36C8A" w:rsidRDefault="00390D21" w:rsidP="0046463C">
            <w:pPr>
              <w:autoSpaceDE/>
              <w:autoSpaceDN/>
              <w:adjustRightInd/>
              <w:spacing w:after="0"/>
              <w:jc w:val="center"/>
              <w:rPr>
                <w:rFonts w:eastAsia="Times New Roman" w:cs="Arial"/>
                <w:b/>
                <w:bCs/>
                <w:lang w:eastAsia="en-GB"/>
              </w:rPr>
            </w:pPr>
            <w:r w:rsidRPr="00D36C8A">
              <w:rPr>
                <w:rFonts w:eastAsia="Times New Roman" w:cs="Arial"/>
                <w:b/>
                <w:bCs/>
                <w:lang w:eastAsia="en-GB"/>
              </w:rPr>
              <w:t>£m</w:t>
            </w:r>
          </w:p>
        </w:tc>
        <w:tc>
          <w:tcPr>
            <w:tcW w:w="1181" w:type="dxa"/>
            <w:tcBorders>
              <w:top w:val="nil"/>
              <w:left w:val="nil"/>
              <w:bottom w:val="single" w:sz="8" w:space="0" w:color="auto"/>
              <w:right w:val="single" w:sz="8" w:space="0" w:color="auto"/>
            </w:tcBorders>
            <w:shd w:val="clear" w:color="000000" w:fill="BFBFBF"/>
            <w:noWrap/>
            <w:vAlign w:val="center"/>
            <w:hideMark/>
          </w:tcPr>
          <w:p w:rsidR="0046463C" w:rsidRPr="00D36C8A" w:rsidRDefault="00390D21" w:rsidP="0046463C">
            <w:pPr>
              <w:autoSpaceDE/>
              <w:autoSpaceDN/>
              <w:adjustRightInd/>
              <w:spacing w:after="0"/>
              <w:jc w:val="center"/>
              <w:rPr>
                <w:rFonts w:eastAsia="Times New Roman" w:cs="Arial"/>
                <w:b/>
                <w:bCs/>
                <w:lang w:eastAsia="en-GB"/>
              </w:rPr>
            </w:pPr>
            <w:r w:rsidRPr="00D36C8A">
              <w:rPr>
                <w:rFonts w:eastAsia="Times New Roman" w:cs="Arial"/>
                <w:b/>
                <w:bCs/>
                <w:lang w:eastAsia="en-GB"/>
              </w:rPr>
              <w:t>£m</w:t>
            </w:r>
          </w:p>
        </w:tc>
        <w:tc>
          <w:tcPr>
            <w:tcW w:w="1181" w:type="dxa"/>
            <w:tcBorders>
              <w:top w:val="nil"/>
              <w:left w:val="nil"/>
              <w:bottom w:val="single" w:sz="8" w:space="0" w:color="auto"/>
              <w:right w:val="single" w:sz="8" w:space="0" w:color="auto"/>
            </w:tcBorders>
            <w:shd w:val="clear" w:color="000000" w:fill="BFBFBF"/>
            <w:noWrap/>
            <w:vAlign w:val="center"/>
            <w:hideMark/>
          </w:tcPr>
          <w:p w:rsidR="0046463C" w:rsidRPr="00D36C8A" w:rsidRDefault="00390D21" w:rsidP="0046463C">
            <w:pPr>
              <w:autoSpaceDE/>
              <w:autoSpaceDN/>
              <w:adjustRightInd/>
              <w:spacing w:after="0"/>
              <w:jc w:val="center"/>
              <w:rPr>
                <w:rFonts w:eastAsia="Times New Roman" w:cs="Arial"/>
                <w:b/>
                <w:bCs/>
                <w:lang w:eastAsia="en-GB"/>
              </w:rPr>
            </w:pPr>
            <w:r w:rsidRPr="00D36C8A">
              <w:rPr>
                <w:rFonts w:eastAsia="Times New Roman" w:cs="Arial"/>
                <w:b/>
                <w:bCs/>
                <w:lang w:eastAsia="en-GB"/>
              </w:rPr>
              <w:t>£m</w:t>
            </w:r>
          </w:p>
        </w:tc>
      </w:tr>
      <w:tr w:rsidR="00C3717D" w:rsidTr="0046463C">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hideMark/>
          </w:tcPr>
          <w:p w:rsidR="0046463C" w:rsidRPr="00D36C8A" w:rsidRDefault="00390D21" w:rsidP="0046463C">
            <w:pPr>
              <w:autoSpaceDE/>
              <w:autoSpaceDN/>
              <w:adjustRightInd/>
              <w:spacing w:after="0"/>
              <w:rPr>
                <w:rFonts w:eastAsia="Times New Roman" w:cs="Arial"/>
                <w:lang w:eastAsia="en-GB"/>
              </w:rPr>
            </w:pPr>
            <w:r w:rsidRPr="00D36C8A">
              <w:rPr>
                <w:rFonts w:eastAsia="Times New Roman" w:cs="Arial"/>
                <w:lang w:eastAsia="en-GB"/>
              </w:rPr>
              <w:t>Adults Services</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63C" w:rsidRPr="009F2F21" w:rsidRDefault="00390D21" w:rsidP="0046463C">
            <w:pPr>
              <w:autoSpaceDE/>
              <w:autoSpaceDN/>
              <w:adjustRightInd/>
              <w:spacing w:after="0"/>
              <w:jc w:val="right"/>
              <w:rPr>
                <w:rFonts w:eastAsia="Times New Roman" w:cs="Arial"/>
                <w:lang w:eastAsia="en-GB"/>
              </w:rPr>
            </w:pPr>
            <w:r w:rsidRPr="009F2F21">
              <w:rPr>
                <w:rFonts w:cs="Arial"/>
              </w:rPr>
              <w:t>10.014</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46463C" w:rsidRPr="009F2F21" w:rsidRDefault="00390D21" w:rsidP="0046463C">
            <w:pPr>
              <w:autoSpaceDE/>
              <w:autoSpaceDN/>
              <w:adjustRightInd/>
              <w:spacing w:after="0"/>
              <w:jc w:val="right"/>
              <w:rPr>
                <w:rFonts w:eastAsia="Times New Roman" w:cs="Arial"/>
                <w:lang w:eastAsia="en-GB"/>
              </w:rPr>
            </w:pPr>
            <w:r w:rsidRPr="009F2F21">
              <w:rPr>
                <w:rFonts w:cs="Arial"/>
              </w:rPr>
              <w:t>9.079</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46463C" w:rsidRPr="009F2F21" w:rsidRDefault="00390D21" w:rsidP="0046463C">
            <w:pPr>
              <w:autoSpaceDE/>
              <w:autoSpaceDN/>
              <w:adjustRightInd/>
              <w:spacing w:after="0"/>
              <w:jc w:val="right"/>
              <w:rPr>
                <w:rFonts w:eastAsia="Times New Roman" w:cs="Arial"/>
                <w:lang w:eastAsia="en-GB"/>
              </w:rPr>
            </w:pPr>
            <w:r w:rsidRPr="009F2F21">
              <w:rPr>
                <w:rFonts w:cs="Arial"/>
              </w:rPr>
              <w:t>9.540</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46463C" w:rsidRPr="009F2F21" w:rsidRDefault="00390D21" w:rsidP="0046463C">
            <w:pPr>
              <w:autoSpaceDE/>
              <w:autoSpaceDN/>
              <w:adjustRightInd/>
              <w:spacing w:after="0"/>
              <w:jc w:val="right"/>
              <w:rPr>
                <w:rFonts w:eastAsia="Times New Roman" w:cs="Arial"/>
                <w:b/>
                <w:bCs/>
                <w:lang w:eastAsia="en-GB"/>
              </w:rPr>
            </w:pPr>
            <w:r w:rsidRPr="009F2F21">
              <w:rPr>
                <w:rFonts w:cs="Arial"/>
                <w:b/>
              </w:rPr>
              <w:t>28.633</w:t>
            </w:r>
          </w:p>
        </w:tc>
      </w:tr>
      <w:tr w:rsidR="00C3717D" w:rsidTr="0046463C">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hideMark/>
          </w:tcPr>
          <w:p w:rsidR="0046463C" w:rsidRPr="00D36C8A" w:rsidRDefault="00390D21" w:rsidP="0046463C">
            <w:pPr>
              <w:autoSpaceDE/>
              <w:autoSpaceDN/>
              <w:adjustRightInd/>
              <w:spacing w:after="0"/>
              <w:rPr>
                <w:rFonts w:eastAsia="Times New Roman" w:cs="Arial"/>
                <w:lang w:eastAsia="en-GB"/>
              </w:rPr>
            </w:pPr>
            <w:r w:rsidRPr="00D36C8A">
              <w:rPr>
                <w:rFonts w:eastAsia="Times New Roman" w:cs="Arial"/>
                <w:lang w:eastAsia="en-GB"/>
              </w:rPr>
              <w:t>Children's Services</w:t>
            </w:r>
          </w:p>
        </w:tc>
        <w:tc>
          <w:tcPr>
            <w:tcW w:w="1181" w:type="dxa"/>
            <w:tcBorders>
              <w:top w:val="nil"/>
              <w:left w:val="single" w:sz="4" w:space="0" w:color="auto"/>
              <w:bottom w:val="single" w:sz="4" w:space="0" w:color="auto"/>
              <w:right w:val="single" w:sz="4" w:space="0" w:color="auto"/>
            </w:tcBorders>
            <w:shd w:val="clear" w:color="auto" w:fill="auto"/>
            <w:noWrap/>
            <w:vAlign w:val="center"/>
          </w:tcPr>
          <w:p w:rsidR="0046463C" w:rsidRPr="009F2F21" w:rsidRDefault="00390D21" w:rsidP="0046463C">
            <w:pPr>
              <w:autoSpaceDE/>
              <w:autoSpaceDN/>
              <w:adjustRightInd/>
              <w:spacing w:after="0"/>
              <w:jc w:val="right"/>
              <w:rPr>
                <w:rFonts w:eastAsia="Times New Roman" w:cs="Arial"/>
                <w:lang w:eastAsia="en-GB"/>
              </w:rPr>
            </w:pPr>
            <w:r w:rsidRPr="009F2F21">
              <w:rPr>
                <w:rFonts w:cs="Arial"/>
              </w:rPr>
              <w:t>2.880</w:t>
            </w:r>
          </w:p>
        </w:tc>
        <w:tc>
          <w:tcPr>
            <w:tcW w:w="1181" w:type="dxa"/>
            <w:tcBorders>
              <w:top w:val="nil"/>
              <w:left w:val="nil"/>
              <w:bottom w:val="single" w:sz="4" w:space="0" w:color="auto"/>
              <w:right w:val="single" w:sz="4" w:space="0" w:color="auto"/>
            </w:tcBorders>
            <w:shd w:val="clear" w:color="auto" w:fill="auto"/>
            <w:noWrap/>
            <w:vAlign w:val="center"/>
          </w:tcPr>
          <w:p w:rsidR="0046463C" w:rsidRPr="009F2F21" w:rsidRDefault="00390D21" w:rsidP="0046463C">
            <w:pPr>
              <w:autoSpaceDE/>
              <w:autoSpaceDN/>
              <w:adjustRightInd/>
              <w:spacing w:after="0"/>
              <w:jc w:val="right"/>
              <w:rPr>
                <w:rFonts w:eastAsia="Times New Roman" w:cs="Arial"/>
                <w:lang w:eastAsia="en-GB"/>
              </w:rPr>
            </w:pPr>
            <w:r w:rsidRPr="009F2F21">
              <w:rPr>
                <w:rFonts w:cs="Arial"/>
              </w:rPr>
              <w:t>2.615</w:t>
            </w:r>
          </w:p>
        </w:tc>
        <w:tc>
          <w:tcPr>
            <w:tcW w:w="1181" w:type="dxa"/>
            <w:tcBorders>
              <w:top w:val="nil"/>
              <w:left w:val="nil"/>
              <w:bottom w:val="single" w:sz="4" w:space="0" w:color="auto"/>
              <w:right w:val="single" w:sz="4" w:space="0" w:color="auto"/>
            </w:tcBorders>
            <w:shd w:val="clear" w:color="auto" w:fill="auto"/>
            <w:noWrap/>
            <w:vAlign w:val="center"/>
          </w:tcPr>
          <w:p w:rsidR="0046463C" w:rsidRPr="009F2F21" w:rsidRDefault="00390D21" w:rsidP="0046463C">
            <w:pPr>
              <w:autoSpaceDE/>
              <w:autoSpaceDN/>
              <w:adjustRightInd/>
              <w:spacing w:after="0"/>
              <w:jc w:val="right"/>
              <w:rPr>
                <w:rFonts w:eastAsia="Times New Roman" w:cs="Arial"/>
                <w:lang w:eastAsia="en-GB"/>
              </w:rPr>
            </w:pPr>
            <w:r w:rsidRPr="009F2F21">
              <w:rPr>
                <w:rFonts w:cs="Arial"/>
              </w:rPr>
              <w:t>3.364</w:t>
            </w:r>
          </w:p>
        </w:tc>
        <w:tc>
          <w:tcPr>
            <w:tcW w:w="1181" w:type="dxa"/>
            <w:tcBorders>
              <w:top w:val="nil"/>
              <w:left w:val="nil"/>
              <w:bottom w:val="single" w:sz="4" w:space="0" w:color="auto"/>
              <w:right w:val="single" w:sz="4" w:space="0" w:color="auto"/>
            </w:tcBorders>
            <w:shd w:val="clear" w:color="auto" w:fill="auto"/>
            <w:noWrap/>
            <w:vAlign w:val="center"/>
          </w:tcPr>
          <w:p w:rsidR="0046463C" w:rsidRPr="009F2F21" w:rsidRDefault="00390D21" w:rsidP="0046463C">
            <w:pPr>
              <w:autoSpaceDE/>
              <w:autoSpaceDN/>
              <w:adjustRightInd/>
              <w:spacing w:after="0"/>
              <w:jc w:val="right"/>
              <w:rPr>
                <w:rFonts w:eastAsia="Times New Roman" w:cs="Arial"/>
                <w:b/>
                <w:bCs/>
                <w:lang w:eastAsia="en-GB"/>
              </w:rPr>
            </w:pPr>
            <w:r w:rsidRPr="009F2F21">
              <w:rPr>
                <w:rFonts w:cs="Arial"/>
                <w:b/>
              </w:rPr>
              <w:t>8.859</w:t>
            </w:r>
          </w:p>
        </w:tc>
      </w:tr>
      <w:tr w:rsidR="00C3717D" w:rsidTr="0046463C">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hideMark/>
          </w:tcPr>
          <w:p w:rsidR="0046463C" w:rsidRPr="00D36C8A" w:rsidRDefault="00390D21" w:rsidP="0046463C">
            <w:pPr>
              <w:autoSpaceDE/>
              <w:autoSpaceDN/>
              <w:adjustRightInd/>
              <w:spacing w:after="0"/>
              <w:rPr>
                <w:rFonts w:eastAsia="Times New Roman" w:cs="Arial"/>
                <w:lang w:eastAsia="en-GB"/>
              </w:rPr>
            </w:pPr>
            <w:r w:rsidRPr="00D36C8A">
              <w:rPr>
                <w:rFonts w:eastAsia="Times New Roman" w:cs="Arial"/>
                <w:lang w:eastAsia="en-GB"/>
              </w:rPr>
              <w:t>Waste Services</w:t>
            </w:r>
          </w:p>
        </w:tc>
        <w:tc>
          <w:tcPr>
            <w:tcW w:w="1181" w:type="dxa"/>
            <w:tcBorders>
              <w:top w:val="nil"/>
              <w:left w:val="single" w:sz="4" w:space="0" w:color="auto"/>
              <w:bottom w:val="single" w:sz="4" w:space="0" w:color="auto"/>
              <w:right w:val="single" w:sz="4" w:space="0" w:color="auto"/>
            </w:tcBorders>
            <w:shd w:val="clear" w:color="auto" w:fill="auto"/>
            <w:noWrap/>
            <w:vAlign w:val="center"/>
          </w:tcPr>
          <w:p w:rsidR="0046463C" w:rsidRPr="009F2F21" w:rsidRDefault="00390D21" w:rsidP="0046463C">
            <w:pPr>
              <w:autoSpaceDE/>
              <w:autoSpaceDN/>
              <w:adjustRightInd/>
              <w:spacing w:after="0"/>
              <w:jc w:val="right"/>
              <w:rPr>
                <w:rFonts w:eastAsia="Times New Roman" w:cs="Arial"/>
                <w:lang w:eastAsia="en-GB"/>
              </w:rPr>
            </w:pPr>
            <w:r w:rsidRPr="009F2F21">
              <w:rPr>
                <w:rFonts w:cs="Arial"/>
              </w:rPr>
              <w:t>1.717</w:t>
            </w:r>
          </w:p>
        </w:tc>
        <w:tc>
          <w:tcPr>
            <w:tcW w:w="1181" w:type="dxa"/>
            <w:tcBorders>
              <w:top w:val="nil"/>
              <w:left w:val="nil"/>
              <w:bottom w:val="single" w:sz="4" w:space="0" w:color="auto"/>
              <w:right w:val="single" w:sz="4" w:space="0" w:color="auto"/>
            </w:tcBorders>
            <w:shd w:val="clear" w:color="auto" w:fill="auto"/>
            <w:noWrap/>
            <w:vAlign w:val="center"/>
          </w:tcPr>
          <w:p w:rsidR="0046463C" w:rsidRPr="009F2F21" w:rsidRDefault="00390D21" w:rsidP="0046463C">
            <w:pPr>
              <w:autoSpaceDE/>
              <w:autoSpaceDN/>
              <w:adjustRightInd/>
              <w:spacing w:after="0"/>
              <w:jc w:val="right"/>
              <w:rPr>
                <w:rFonts w:eastAsia="Times New Roman" w:cs="Arial"/>
                <w:lang w:eastAsia="en-GB"/>
              </w:rPr>
            </w:pPr>
            <w:r w:rsidRPr="009F2F21">
              <w:rPr>
                <w:rFonts w:cs="Arial"/>
              </w:rPr>
              <w:t>0.434</w:t>
            </w:r>
          </w:p>
        </w:tc>
        <w:tc>
          <w:tcPr>
            <w:tcW w:w="1181" w:type="dxa"/>
            <w:tcBorders>
              <w:top w:val="nil"/>
              <w:left w:val="nil"/>
              <w:bottom w:val="single" w:sz="4" w:space="0" w:color="auto"/>
              <w:right w:val="single" w:sz="4" w:space="0" w:color="auto"/>
            </w:tcBorders>
            <w:shd w:val="clear" w:color="auto" w:fill="auto"/>
            <w:noWrap/>
            <w:vAlign w:val="center"/>
          </w:tcPr>
          <w:p w:rsidR="0046463C" w:rsidRPr="009F2F21" w:rsidRDefault="00390D21" w:rsidP="0046463C">
            <w:pPr>
              <w:autoSpaceDE/>
              <w:autoSpaceDN/>
              <w:adjustRightInd/>
              <w:spacing w:after="0"/>
              <w:jc w:val="right"/>
              <w:rPr>
                <w:rFonts w:eastAsia="Times New Roman" w:cs="Arial"/>
                <w:lang w:eastAsia="en-GB"/>
              </w:rPr>
            </w:pPr>
            <w:r w:rsidRPr="009F2F21">
              <w:rPr>
                <w:rFonts w:cs="Arial"/>
              </w:rPr>
              <w:t>0.481</w:t>
            </w:r>
          </w:p>
        </w:tc>
        <w:tc>
          <w:tcPr>
            <w:tcW w:w="1181" w:type="dxa"/>
            <w:tcBorders>
              <w:top w:val="nil"/>
              <w:left w:val="nil"/>
              <w:bottom w:val="single" w:sz="4" w:space="0" w:color="auto"/>
              <w:right w:val="single" w:sz="4" w:space="0" w:color="auto"/>
            </w:tcBorders>
            <w:shd w:val="clear" w:color="auto" w:fill="auto"/>
            <w:noWrap/>
            <w:vAlign w:val="center"/>
          </w:tcPr>
          <w:p w:rsidR="0046463C" w:rsidRPr="009F2F21" w:rsidRDefault="00390D21" w:rsidP="0046463C">
            <w:pPr>
              <w:autoSpaceDE/>
              <w:autoSpaceDN/>
              <w:adjustRightInd/>
              <w:spacing w:after="0"/>
              <w:jc w:val="right"/>
              <w:rPr>
                <w:rFonts w:eastAsia="Times New Roman" w:cs="Arial"/>
                <w:b/>
                <w:bCs/>
                <w:lang w:eastAsia="en-GB"/>
              </w:rPr>
            </w:pPr>
            <w:r w:rsidRPr="009F2F21">
              <w:rPr>
                <w:rFonts w:cs="Arial"/>
                <w:b/>
              </w:rPr>
              <w:t>2.632</w:t>
            </w:r>
          </w:p>
        </w:tc>
      </w:tr>
      <w:tr w:rsidR="00C3717D" w:rsidTr="0046463C">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hideMark/>
          </w:tcPr>
          <w:p w:rsidR="0046463C" w:rsidRPr="00D36C8A" w:rsidRDefault="00390D21" w:rsidP="0046463C">
            <w:pPr>
              <w:autoSpaceDE/>
              <w:autoSpaceDN/>
              <w:adjustRightInd/>
              <w:spacing w:after="0"/>
              <w:rPr>
                <w:rFonts w:eastAsia="Times New Roman" w:cs="Arial"/>
                <w:lang w:eastAsia="en-GB"/>
              </w:rPr>
            </w:pPr>
            <w:r w:rsidRPr="00D36C8A">
              <w:rPr>
                <w:rFonts w:eastAsia="Times New Roman" w:cs="Arial"/>
                <w:lang w:eastAsia="en-GB"/>
              </w:rPr>
              <w:t>Transport Services</w:t>
            </w:r>
          </w:p>
        </w:tc>
        <w:tc>
          <w:tcPr>
            <w:tcW w:w="1181" w:type="dxa"/>
            <w:tcBorders>
              <w:top w:val="nil"/>
              <w:left w:val="single" w:sz="4" w:space="0" w:color="auto"/>
              <w:bottom w:val="single" w:sz="4" w:space="0" w:color="auto"/>
              <w:right w:val="single" w:sz="4" w:space="0" w:color="auto"/>
            </w:tcBorders>
            <w:shd w:val="clear" w:color="auto" w:fill="auto"/>
            <w:noWrap/>
            <w:vAlign w:val="center"/>
          </w:tcPr>
          <w:p w:rsidR="0046463C" w:rsidRPr="009F2F21" w:rsidRDefault="00390D21" w:rsidP="0046463C">
            <w:pPr>
              <w:autoSpaceDE/>
              <w:autoSpaceDN/>
              <w:adjustRightInd/>
              <w:spacing w:after="0"/>
              <w:jc w:val="right"/>
              <w:rPr>
                <w:rFonts w:eastAsia="Times New Roman" w:cs="Arial"/>
                <w:lang w:eastAsia="en-GB"/>
              </w:rPr>
            </w:pPr>
            <w:r w:rsidRPr="009F2F21">
              <w:rPr>
                <w:rFonts w:cs="Arial"/>
              </w:rPr>
              <w:t>0.907</w:t>
            </w:r>
          </w:p>
        </w:tc>
        <w:tc>
          <w:tcPr>
            <w:tcW w:w="1181" w:type="dxa"/>
            <w:tcBorders>
              <w:top w:val="nil"/>
              <w:left w:val="nil"/>
              <w:bottom w:val="single" w:sz="4" w:space="0" w:color="auto"/>
              <w:right w:val="single" w:sz="4" w:space="0" w:color="auto"/>
            </w:tcBorders>
            <w:shd w:val="clear" w:color="auto" w:fill="auto"/>
            <w:noWrap/>
            <w:vAlign w:val="center"/>
          </w:tcPr>
          <w:p w:rsidR="0046463C" w:rsidRPr="009F2F21" w:rsidRDefault="00390D21" w:rsidP="0046463C">
            <w:pPr>
              <w:autoSpaceDE/>
              <w:autoSpaceDN/>
              <w:adjustRightInd/>
              <w:spacing w:after="0"/>
              <w:jc w:val="right"/>
              <w:rPr>
                <w:rFonts w:eastAsia="Times New Roman" w:cs="Arial"/>
                <w:lang w:eastAsia="en-GB"/>
              </w:rPr>
            </w:pPr>
            <w:r w:rsidRPr="009F2F21">
              <w:rPr>
                <w:rFonts w:cs="Arial"/>
              </w:rPr>
              <w:t>0.606</w:t>
            </w:r>
          </w:p>
        </w:tc>
        <w:tc>
          <w:tcPr>
            <w:tcW w:w="1181" w:type="dxa"/>
            <w:tcBorders>
              <w:top w:val="nil"/>
              <w:left w:val="nil"/>
              <w:bottom w:val="single" w:sz="4" w:space="0" w:color="auto"/>
              <w:right w:val="single" w:sz="4" w:space="0" w:color="auto"/>
            </w:tcBorders>
            <w:shd w:val="clear" w:color="auto" w:fill="auto"/>
            <w:noWrap/>
            <w:vAlign w:val="center"/>
          </w:tcPr>
          <w:p w:rsidR="0046463C" w:rsidRPr="009F2F21" w:rsidRDefault="00390D21" w:rsidP="0046463C">
            <w:pPr>
              <w:autoSpaceDE/>
              <w:autoSpaceDN/>
              <w:adjustRightInd/>
              <w:spacing w:after="0"/>
              <w:jc w:val="right"/>
              <w:rPr>
                <w:rFonts w:eastAsia="Times New Roman" w:cs="Arial"/>
                <w:lang w:eastAsia="en-GB"/>
              </w:rPr>
            </w:pPr>
            <w:r w:rsidRPr="009F2F21">
              <w:rPr>
                <w:rFonts w:cs="Arial"/>
              </w:rPr>
              <w:t>0.690</w:t>
            </w:r>
          </w:p>
        </w:tc>
        <w:tc>
          <w:tcPr>
            <w:tcW w:w="1181" w:type="dxa"/>
            <w:tcBorders>
              <w:top w:val="nil"/>
              <w:left w:val="nil"/>
              <w:bottom w:val="single" w:sz="4" w:space="0" w:color="auto"/>
              <w:right w:val="single" w:sz="4" w:space="0" w:color="auto"/>
            </w:tcBorders>
            <w:shd w:val="clear" w:color="auto" w:fill="auto"/>
            <w:noWrap/>
            <w:vAlign w:val="center"/>
          </w:tcPr>
          <w:p w:rsidR="0046463C" w:rsidRPr="009F2F21" w:rsidRDefault="00390D21" w:rsidP="0046463C">
            <w:pPr>
              <w:autoSpaceDE/>
              <w:autoSpaceDN/>
              <w:adjustRightInd/>
              <w:spacing w:after="0"/>
              <w:jc w:val="right"/>
              <w:rPr>
                <w:rFonts w:eastAsia="Times New Roman" w:cs="Arial"/>
                <w:b/>
                <w:bCs/>
                <w:lang w:eastAsia="en-GB"/>
              </w:rPr>
            </w:pPr>
            <w:r w:rsidRPr="009F2F21">
              <w:rPr>
                <w:rFonts w:cs="Arial"/>
                <w:b/>
              </w:rPr>
              <w:t>2.203</w:t>
            </w:r>
          </w:p>
        </w:tc>
      </w:tr>
      <w:tr w:rsidR="00C3717D" w:rsidTr="0046463C">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hideMark/>
          </w:tcPr>
          <w:p w:rsidR="0046463C" w:rsidRPr="00D36C8A" w:rsidRDefault="00390D21" w:rsidP="0046463C">
            <w:pPr>
              <w:autoSpaceDE/>
              <w:autoSpaceDN/>
              <w:adjustRightInd/>
              <w:spacing w:after="0"/>
              <w:rPr>
                <w:rFonts w:eastAsia="Times New Roman" w:cs="Arial"/>
                <w:lang w:eastAsia="en-GB"/>
              </w:rPr>
            </w:pPr>
            <w:r w:rsidRPr="00D36C8A">
              <w:rPr>
                <w:rFonts w:eastAsia="Times New Roman" w:cs="Arial"/>
                <w:lang w:eastAsia="en-GB"/>
              </w:rPr>
              <w:t>Other Services</w:t>
            </w:r>
          </w:p>
        </w:tc>
        <w:tc>
          <w:tcPr>
            <w:tcW w:w="1181" w:type="dxa"/>
            <w:tcBorders>
              <w:top w:val="nil"/>
              <w:left w:val="single" w:sz="4" w:space="0" w:color="auto"/>
              <w:bottom w:val="single" w:sz="4" w:space="0" w:color="auto"/>
              <w:right w:val="single" w:sz="4" w:space="0" w:color="auto"/>
            </w:tcBorders>
            <w:shd w:val="clear" w:color="auto" w:fill="auto"/>
            <w:noWrap/>
            <w:vAlign w:val="center"/>
          </w:tcPr>
          <w:p w:rsidR="0046463C" w:rsidRPr="009F2F21" w:rsidRDefault="00390D21" w:rsidP="0046463C">
            <w:pPr>
              <w:autoSpaceDE/>
              <w:autoSpaceDN/>
              <w:adjustRightInd/>
              <w:spacing w:after="0"/>
              <w:jc w:val="right"/>
              <w:rPr>
                <w:rFonts w:eastAsia="Times New Roman" w:cs="Arial"/>
                <w:lang w:eastAsia="en-GB"/>
              </w:rPr>
            </w:pPr>
            <w:r w:rsidRPr="009F2F21">
              <w:rPr>
                <w:rFonts w:cs="Arial"/>
              </w:rPr>
              <w:t>5.135</w:t>
            </w:r>
          </w:p>
        </w:tc>
        <w:tc>
          <w:tcPr>
            <w:tcW w:w="1181" w:type="dxa"/>
            <w:tcBorders>
              <w:top w:val="nil"/>
              <w:left w:val="nil"/>
              <w:bottom w:val="single" w:sz="4" w:space="0" w:color="auto"/>
              <w:right w:val="single" w:sz="4" w:space="0" w:color="auto"/>
            </w:tcBorders>
            <w:shd w:val="clear" w:color="auto" w:fill="auto"/>
            <w:noWrap/>
            <w:vAlign w:val="center"/>
          </w:tcPr>
          <w:p w:rsidR="0046463C" w:rsidRPr="009F2F21" w:rsidRDefault="00390D21" w:rsidP="0046463C">
            <w:pPr>
              <w:autoSpaceDE/>
              <w:autoSpaceDN/>
              <w:adjustRightInd/>
              <w:spacing w:after="0"/>
              <w:jc w:val="right"/>
              <w:rPr>
                <w:rFonts w:eastAsia="Times New Roman" w:cs="Arial"/>
                <w:lang w:eastAsia="en-GB"/>
              </w:rPr>
            </w:pPr>
            <w:r w:rsidRPr="009F2F21">
              <w:rPr>
                <w:rFonts w:cs="Arial"/>
              </w:rPr>
              <w:t>0.122</w:t>
            </w:r>
          </w:p>
        </w:tc>
        <w:tc>
          <w:tcPr>
            <w:tcW w:w="1181" w:type="dxa"/>
            <w:tcBorders>
              <w:top w:val="nil"/>
              <w:left w:val="nil"/>
              <w:bottom w:val="single" w:sz="4" w:space="0" w:color="auto"/>
              <w:right w:val="single" w:sz="4" w:space="0" w:color="auto"/>
            </w:tcBorders>
            <w:shd w:val="clear" w:color="auto" w:fill="auto"/>
            <w:noWrap/>
            <w:vAlign w:val="center"/>
          </w:tcPr>
          <w:p w:rsidR="0046463C" w:rsidRPr="009F2F21" w:rsidRDefault="00390D21" w:rsidP="0046463C">
            <w:pPr>
              <w:autoSpaceDE/>
              <w:autoSpaceDN/>
              <w:adjustRightInd/>
              <w:spacing w:after="0"/>
              <w:jc w:val="right"/>
              <w:rPr>
                <w:rFonts w:eastAsia="Times New Roman" w:cs="Arial"/>
                <w:lang w:eastAsia="en-GB"/>
              </w:rPr>
            </w:pPr>
            <w:r w:rsidRPr="009F2F21">
              <w:rPr>
                <w:rFonts w:cs="Arial"/>
              </w:rPr>
              <w:t>0.122</w:t>
            </w:r>
          </w:p>
        </w:tc>
        <w:tc>
          <w:tcPr>
            <w:tcW w:w="1181" w:type="dxa"/>
            <w:tcBorders>
              <w:top w:val="nil"/>
              <w:left w:val="nil"/>
              <w:bottom w:val="single" w:sz="4" w:space="0" w:color="auto"/>
              <w:right w:val="single" w:sz="4" w:space="0" w:color="auto"/>
            </w:tcBorders>
            <w:shd w:val="clear" w:color="auto" w:fill="auto"/>
            <w:noWrap/>
            <w:vAlign w:val="center"/>
          </w:tcPr>
          <w:p w:rsidR="0046463C" w:rsidRPr="009F2F21" w:rsidRDefault="00390D21" w:rsidP="0046463C">
            <w:pPr>
              <w:autoSpaceDE/>
              <w:autoSpaceDN/>
              <w:adjustRightInd/>
              <w:spacing w:after="0"/>
              <w:jc w:val="right"/>
              <w:rPr>
                <w:rFonts w:eastAsia="Times New Roman" w:cs="Arial"/>
                <w:b/>
                <w:bCs/>
                <w:lang w:eastAsia="en-GB"/>
              </w:rPr>
            </w:pPr>
            <w:r w:rsidRPr="009F2F21">
              <w:rPr>
                <w:rFonts w:cs="Arial"/>
                <w:b/>
              </w:rPr>
              <w:t>5.379</w:t>
            </w:r>
          </w:p>
        </w:tc>
      </w:tr>
      <w:tr w:rsidR="00C3717D" w:rsidTr="0046463C">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hideMark/>
          </w:tcPr>
          <w:p w:rsidR="0046463C" w:rsidRPr="00D36C8A" w:rsidRDefault="00390D21" w:rsidP="0046463C">
            <w:pPr>
              <w:autoSpaceDE/>
              <w:autoSpaceDN/>
              <w:adjustRightInd/>
              <w:spacing w:after="0"/>
              <w:jc w:val="left"/>
              <w:rPr>
                <w:rFonts w:eastAsia="Times New Roman" w:cs="Arial"/>
                <w:b/>
                <w:bCs/>
                <w:lang w:eastAsia="en-GB"/>
              </w:rPr>
            </w:pPr>
            <w:r w:rsidRPr="00D36C8A">
              <w:rPr>
                <w:rFonts w:eastAsia="Times New Roman" w:cs="Arial"/>
                <w:b/>
                <w:bCs/>
                <w:lang w:eastAsia="en-GB"/>
              </w:rPr>
              <w:t>Revised Demand Requirements</w:t>
            </w:r>
          </w:p>
        </w:tc>
        <w:tc>
          <w:tcPr>
            <w:tcW w:w="1181" w:type="dxa"/>
            <w:tcBorders>
              <w:top w:val="nil"/>
              <w:left w:val="single" w:sz="4" w:space="0" w:color="auto"/>
              <w:bottom w:val="single" w:sz="4" w:space="0" w:color="auto"/>
              <w:right w:val="single" w:sz="4" w:space="0" w:color="auto"/>
            </w:tcBorders>
            <w:shd w:val="clear" w:color="auto" w:fill="auto"/>
            <w:noWrap/>
            <w:vAlign w:val="center"/>
          </w:tcPr>
          <w:p w:rsidR="0046463C" w:rsidRPr="009F2F21" w:rsidRDefault="00390D21" w:rsidP="0046463C">
            <w:pPr>
              <w:autoSpaceDE/>
              <w:autoSpaceDN/>
              <w:adjustRightInd/>
              <w:spacing w:after="0"/>
              <w:jc w:val="right"/>
              <w:rPr>
                <w:rFonts w:eastAsia="Times New Roman" w:cs="Arial"/>
                <w:b/>
                <w:bCs/>
                <w:lang w:eastAsia="en-GB"/>
              </w:rPr>
            </w:pPr>
            <w:r w:rsidRPr="009F2F21">
              <w:rPr>
                <w:rFonts w:cs="Arial"/>
                <w:b/>
                <w:bCs/>
              </w:rPr>
              <w:t>20.653</w:t>
            </w:r>
          </w:p>
        </w:tc>
        <w:tc>
          <w:tcPr>
            <w:tcW w:w="1181" w:type="dxa"/>
            <w:tcBorders>
              <w:top w:val="nil"/>
              <w:left w:val="nil"/>
              <w:bottom w:val="single" w:sz="4" w:space="0" w:color="auto"/>
              <w:right w:val="single" w:sz="4" w:space="0" w:color="auto"/>
            </w:tcBorders>
            <w:shd w:val="clear" w:color="auto" w:fill="auto"/>
            <w:noWrap/>
            <w:vAlign w:val="center"/>
          </w:tcPr>
          <w:p w:rsidR="0046463C" w:rsidRPr="009F2F21" w:rsidRDefault="00390D21" w:rsidP="0046463C">
            <w:pPr>
              <w:autoSpaceDE/>
              <w:autoSpaceDN/>
              <w:adjustRightInd/>
              <w:spacing w:after="0"/>
              <w:jc w:val="right"/>
              <w:rPr>
                <w:rFonts w:eastAsia="Times New Roman" w:cs="Arial"/>
                <w:b/>
                <w:bCs/>
                <w:lang w:eastAsia="en-GB"/>
              </w:rPr>
            </w:pPr>
            <w:r w:rsidRPr="009F2F21">
              <w:rPr>
                <w:rFonts w:cs="Arial"/>
                <w:b/>
                <w:bCs/>
              </w:rPr>
              <w:t>12.856</w:t>
            </w:r>
          </w:p>
        </w:tc>
        <w:tc>
          <w:tcPr>
            <w:tcW w:w="1181" w:type="dxa"/>
            <w:tcBorders>
              <w:top w:val="nil"/>
              <w:left w:val="nil"/>
              <w:bottom w:val="single" w:sz="4" w:space="0" w:color="auto"/>
              <w:right w:val="single" w:sz="4" w:space="0" w:color="auto"/>
            </w:tcBorders>
            <w:shd w:val="clear" w:color="auto" w:fill="auto"/>
            <w:noWrap/>
            <w:vAlign w:val="center"/>
          </w:tcPr>
          <w:p w:rsidR="0046463C" w:rsidRPr="009F2F21" w:rsidRDefault="00390D21" w:rsidP="0046463C">
            <w:pPr>
              <w:autoSpaceDE/>
              <w:autoSpaceDN/>
              <w:adjustRightInd/>
              <w:spacing w:after="0"/>
              <w:jc w:val="right"/>
              <w:rPr>
                <w:rFonts w:eastAsia="Times New Roman" w:cs="Arial"/>
                <w:b/>
                <w:bCs/>
                <w:lang w:eastAsia="en-GB"/>
              </w:rPr>
            </w:pPr>
            <w:r w:rsidRPr="009F2F21">
              <w:rPr>
                <w:rFonts w:cs="Arial"/>
                <w:b/>
                <w:bCs/>
              </w:rPr>
              <w:t>14.197</w:t>
            </w:r>
          </w:p>
        </w:tc>
        <w:tc>
          <w:tcPr>
            <w:tcW w:w="1181" w:type="dxa"/>
            <w:tcBorders>
              <w:top w:val="nil"/>
              <w:left w:val="nil"/>
              <w:bottom w:val="single" w:sz="4" w:space="0" w:color="auto"/>
              <w:right w:val="single" w:sz="4" w:space="0" w:color="auto"/>
            </w:tcBorders>
            <w:shd w:val="clear" w:color="auto" w:fill="auto"/>
            <w:noWrap/>
            <w:vAlign w:val="center"/>
          </w:tcPr>
          <w:p w:rsidR="0046463C" w:rsidRPr="009F2F21" w:rsidRDefault="00390D21" w:rsidP="0046463C">
            <w:pPr>
              <w:autoSpaceDE/>
              <w:autoSpaceDN/>
              <w:adjustRightInd/>
              <w:spacing w:after="0"/>
              <w:jc w:val="right"/>
              <w:rPr>
                <w:rFonts w:eastAsia="Times New Roman" w:cs="Arial"/>
                <w:b/>
                <w:bCs/>
                <w:lang w:eastAsia="en-GB"/>
              </w:rPr>
            </w:pPr>
            <w:r w:rsidRPr="009F2F21">
              <w:rPr>
                <w:rFonts w:cs="Arial"/>
                <w:b/>
              </w:rPr>
              <w:t>47.706</w:t>
            </w:r>
          </w:p>
        </w:tc>
      </w:tr>
      <w:tr w:rsidR="00C3717D" w:rsidTr="0046463C">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hideMark/>
          </w:tcPr>
          <w:p w:rsidR="0046463C" w:rsidRPr="00D36C8A" w:rsidRDefault="00390D21" w:rsidP="0046463C">
            <w:pPr>
              <w:autoSpaceDE/>
              <w:autoSpaceDN/>
              <w:adjustRightInd/>
              <w:spacing w:after="0"/>
              <w:rPr>
                <w:rFonts w:eastAsia="Times New Roman" w:cs="Arial"/>
                <w:lang w:eastAsia="en-GB"/>
              </w:rPr>
            </w:pPr>
            <w:r w:rsidRPr="00D36C8A">
              <w:rPr>
                <w:rFonts w:eastAsia="Times New Roman" w:cs="Arial"/>
                <w:lang w:eastAsia="en-GB"/>
              </w:rPr>
              <w:t> </w:t>
            </w:r>
          </w:p>
        </w:tc>
        <w:tc>
          <w:tcPr>
            <w:tcW w:w="1181" w:type="dxa"/>
            <w:tcBorders>
              <w:top w:val="single" w:sz="8" w:space="0" w:color="auto"/>
              <w:left w:val="nil"/>
              <w:bottom w:val="single" w:sz="8" w:space="0" w:color="auto"/>
              <w:right w:val="single" w:sz="8" w:space="0" w:color="auto"/>
            </w:tcBorders>
            <w:shd w:val="clear" w:color="auto" w:fill="auto"/>
            <w:noWrap/>
            <w:vAlign w:val="center"/>
            <w:hideMark/>
          </w:tcPr>
          <w:p w:rsidR="0046463C" w:rsidRPr="00D36C8A" w:rsidRDefault="00390D21" w:rsidP="0046463C">
            <w:pPr>
              <w:autoSpaceDE/>
              <w:autoSpaceDN/>
              <w:adjustRightInd/>
              <w:spacing w:after="0"/>
              <w:jc w:val="right"/>
              <w:rPr>
                <w:rFonts w:eastAsia="Times New Roman" w:cs="Arial"/>
                <w:lang w:eastAsia="en-GB"/>
              </w:rPr>
            </w:pPr>
            <w:r w:rsidRPr="00D36C8A">
              <w:rPr>
                <w:rFonts w:eastAsia="Times New Roman" w:cs="Arial"/>
                <w:lang w:eastAsia="en-GB"/>
              </w:rPr>
              <w:t> </w:t>
            </w:r>
          </w:p>
        </w:tc>
        <w:tc>
          <w:tcPr>
            <w:tcW w:w="1181" w:type="dxa"/>
            <w:tcBorders>
              <w:top w:val="single" w:sz="8" w:space="0" w:color="auto"/>
              <w:left w:val="nil"/>
              <w:bottom w:val="single" w:sz="8" w:space="0" w:color="auto"/>
              <w:right w:val="single" w:sz="8" w:space="0" w:color="auto"/>
            </w:tcBorders>
            <w:shd w:val="clear" w:color="auto" w:fill="auto"/>
            <w:noWrap/>
            <w:vAlign w:val="center"/>
            <w:hideMark/>
          </w:tcPr>
          <w:p w:rsidR="0046463C" w:rsidRPr="00D36C8A" w:rsidRDefault="00390D21" w:rsidP="0046463C">
            <w:pPr>
              <w:autoSpaceDE/>
              <w:autoSpaceDN/>
              <w:adjustRightInd/>
              <w:spacing w:after="0"/>
              <w:jc w:val="right"/>
              <w:rPr>
                <w:rFonts w:eastAsia="Times New Roman" w:cs="Arial"/>
                <w:b/>
                <w:bCs/>
                <w:lang w:eastAsia="en-GB"/>
              </w:rPr>
            </w:pPr>
            <w:r w:rsidRPr="00D36C8A">
              <w:rPr>
                <w:rFonts w:eastAsia="Times New Roman" w:cs="Arial"/>
                <w:b/>
                <w:bCs/>
                <w:lang w:eastAsia="en-GB"/>
              </w:rPr>
              <w:t> </w:t>
            </w:r>
          </w:p>
        </w:tc>
        <w:tc>
          <w:tcPr>
            <w:tcW w:w="1181" w:type="dxa"/>
            <w:tcBorders>
              <w:top w:val="single" w:sz="8" w:space="0" w:color="auto"/>
              <w:left w:val="nil"/>
              <w:bottom w:val="single" w:sz="8" w:space="0" w:color="auto"/>
              <w:right w:val="single" w:sz="8" w:space="0" w:color="auto"/>
            </w:tcBorders>
            <w:shd w:val="clear" w:color="auto" w:fill="auto"/>
            <w:noWrap/>
            <w:vAlign w:val="center"/>
            <w:hideMark/>
          </w:tcPr>
          <w:p w:rsidR="0046463C" w:rsidRPr="00D36C8A" w:rsidRDefault="00390D21" w:rsidP="0046463C">
            <w:pPr>
              <w:autoSpaceDE/>
              <w:autoSpaceDN/>
              <w:adjustRightInd/>
              <w:spacing w:after="0"/>
              <w:jc w:val="right"/>
              <w:rPr>
                <w:rFonts w:eastAsia="Times New Roman" w:cs="Arial"/>
                <w:b/>
                <w:bCs/>
                <w:lang w:eastAsia="en-GB"/>
              </w:rPr>
            </w:pPr>
            <w:r w:rsidRPr="00D36C8A">
              <w:rPr>
                <w:rFonts w:eastAsia="Times New Roman" w:cs="Arial"/>
                <w:b/>
                <w:bCs/>
                <w:lang w:eastAsia="en-GB"/>
              </w:rPr>
              <w:t> </w:t>
            </w:r>
          </w:p>
        </w:tc>
        <w:tc>
          <w:tcPr>
            <w:tcW w:w="1181" w:type="dxa"/>
            <w:tcBorders>
              <w:top w:val="nil"/>
              <w:left w:val="nil"/>
              <w:bottom w:val="single" w:sz="8" w:space="0" w:color="auto"/>
              <w:right w:val="single" w:sz="8" w:space="0" w:color="auto"/>
            </w:tcBorders>
            <w:shd w:val="clear" w:color="auto" w:fill="auto"/>
            <w:noWrap/>
            <w:vAlign w:val="center"/>
            <w:hideMark/>
          </w:tcPr>
          <w:p w:rsidR="0046463C" w:rsidRPr="00D36C8A" w:rsidRDefault="00390D21" w:rsidP="0046463C">
            <w:pPr>
              <w:autoSpaceDE/>
              <w:autoSpaceDN/>
              <w:adjustRightInd/>
              <w:spacing w:after="0"/>
              <w:jc w:val="left"/>
              <w:rPr>
                <w:rFonts w:eastAsia="Times New Roman" w:cs="Arial"/>
                <w:sz w:val="20"/>
                <w:szCs w:val="20"/>
                <w:lang w:eastAsia="en-GB"/>
              </w:rPr>
            </w:pPr>
            <w:r w:rsidRPr="00D36C8A">
              <w:rPr>
                <w:rFonts w:eastAsia="Times New Roman" w:cs="Arial"/>
                <w:sz w:val="20"/>
                <w:szCs w:val="20"/>
                <w:lang w:eastAsia="en-GB"/>
              </w:rPr>
              <w:t> </w:t>
            </w:r>
          </w:p>
        </w:tc>
      </w:tr>
      <w:tr w:rsidR="00C3717D" w:rsidTr="0046463C">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hideMark/>
          </w:tcPr>
          <w:p w:rsidR="0046463C" w:rsidRPr="00D36C8A" w:rsidRDefault="00390D21" w:rsidP="0046463C">
            <w:pPr>
              <w:autoSpaceDE/>
              <w:autoSpaceDN/>
              <w:adjustRightInd/>
              <w:spacing w:after="0"/>
              <w:rPr>
                <w:rFonts w:eastAsia="Times New Roman" w:cs="Arial"/>
                <w:b/>
                <w:bCs/>
                <w:lang w:eastAsia="en-GB"/>
              </w:rPr>
            </w:pPr>
            <w:r w:rsidRPr="00D36C8A">
              <w:rPr>
                <w:rFonts w:eastAsia="Times New Roman" w:cs="Arial"/>
                <w:b/>
                <w:bCs/>
                <w:lang w:eastAsia="en-GB"/>
              </w:rPr>
              <w:t>Demand – previous MTFS</w:t>
            </w:r>
          </w:p>
        </w:tc>
        <w:tc>
          <w:tcPr>
            <w:tcW w:w="1181" w:type="dxa"/>
            <w:tcBorders>
              <w:top w:val="nil"/>
              <w:left w:val="nil"/>
              <w:bottom w:val="nil"/>
              <w:right w:val="single" w:sz="8" w:space="0" w:color="auto"/>
            </w:tcBorders>
            <w:shd w:val="clear" w:color="auto" w:fill="auto"/>
            <w:noWrap/>
            <w:vAlign w:val="center"/>
            <w:hideMark/>
          </w:tcPr>
          <w:p w:rsidR="0046463C" w:rsidRPr="00D36C8A" w:rsidRDefault="00390D21" w:rsidP="0046463C">
            <w:pPr>
              <w:autoSpaceDE/>
              <w:autoSpaceDN/>
              <w:adjustRightInd/>
              <w:spacing w:after="0"/>
              <w:jc w:val="right"/>
              <w:rPr>
                <w:rFonts w:eastAsia="Times New Roman" w:cs="Arial"/>
                <w:b/>
                <w:bCs/>
                <w:lang w:eastAsia="en-GB"/>
              </w:rPr>
            </w:pPr>
            <w:r>
              <w:rPr>
                <w:rFonts w:eastAsia="Times New Roman" w:cs="Arial"/>
                <w:b/>
                <w:bCs/>
                <w:lang w:eastAsia="en-GB"/>
              </w:rPr>
              <w:t>17.132</w:t>
            </w:r>
          </w:p>
        </w:tc>
        <w:tc>
          <w:tcPr>
            <w:tcW w:w="1181" w:type="dxa"/>
            <w:tcBorders>
              <w:top w:val="nil"/>
              <w:left w:val="nil"/>
              <w:bottom w:val="nil"/>
              <w:right w:val="single" w:sz="8" w:space="0" w:color="auto"/>
            </w:tcBorders>
            <w:shd w:val="clear" w:color="auto" w:fill="auto"/>
            <w:noWrap/>
            <w:vAlign w:val="center"/>
            <w:hideMark/>
          </w:tcPr>
          <w:p w:rsidR="0046463C" w:rsidRPr="00D36C8A" w:rsidRDefault="00390D21" w:rsidP="0046463C">
            <w:pPr>
              <w:autoSpaceDE/>
              <w:autoSpaceDN/>
              <w:adjustRightInd/>
              <w:spacing w:after="0"/>
              <w:jc w:val="right"/>
              <w:rPr>
                <w:rFonts w:eastAsia="Times New Roman" w:cs="Arial"/>
                <w:b/>
                <w:bCs/>
                <w:lang w:eastAsia="en-GB"/>
              </w:rPr>
            </w:pPr>
            <w:r>
              <w:rPr>
                <w:rFonts w:eastAsia="Times New Roman" w:cs="Arial"/>
                <w:b/>
                <w:bCs/>
                <w:lang w:eastAsia="en-GB"/>
              </w:rPr>
              <w:t>14.169</w:t>
            </w:r>
          </w:p>
        </w:tc>
        <w:tc>
          <w:tcPr>
            <w:tcW w:w="1181" w:type="dxa"/>
            <w:tcBorders>
              <w:top w:val="nil"/>
              <w:left w:val="nil"/>
              <w:bottom w:val="nil"/>
              <w:right w:val="single" w:sz="8" w:space="0" w:color="auto"/>
            </w:tcBorders>
            <w:shd w:val="clear" w:color="auto" w:fill="auto"/>
            <w:noWrap/>
            <w:vAlign w:val="center"/>
            <w:hideMark/>
          </w:tcPr>
          <w:p w:rsidR="0046463C" w:rsidRPr="00D36C8A" w:rsidRDefault="00390D21" w:rsidP="0046463C">
            <w:pPr>
              <w:autoSpaceDE/>
              <w:autoSpaceDN/>
              <w:adjustRightInd/>
              <w:spacing w:after="0"/>
              <w:jc w:val="right"/>
              <w:rPr>
                <w:rFonts w:eastAsia="Times New Roman" w:cs="Arial"/>
                <w:b/>
                <w:bCs/>
                <w:lang w:eastAsia="en-GB"/>
              </w:rPr>
            </w:pPr>
            <w:r>
              <w:rPr>
                <w:rFonts w:eastAsia="Times New Roman" w:cs="Arial"/>
                <w:b/>
                <w:bCs/>
                <w:lang w:eastAsia="en-GB"/>
              </w:rPr>
              <w:t>15.048</w:t>
            </w:r>
          </w:p>
        </w:tc>
        <w:tc>
          <w:tcPr>
            <w:tcW w:w="1181" w:type="dxa"/>
            <w:tcBorders>
              <w:top w:val="nil"/>
              <w:left w:val="nil"/>
              <w:bottom w:val="single" w:sz="8" w:space="0" w:color="auto"/>
              <w:right w:val="single" w:sz="8" w:space="0" w:color="auto"/>
            </w:tcBorders>
            <w:shd w:val="clear" w:color="auto" w:fill="auto"/>
            <w:noWrap/>
            <w:vAlign w:val="center"/>
            <w:hideMark/>
          </w:tcPr>
          <w:p w:rsidR="0046463C" w:rsidRPr="00D36C8A" w:rsidRDefault="00390D21" w:rsidP="0046463C">
            <w:pPr>
              <w:autoSpaceDE/>
              <w:autoSpaceDN/>
              <w:adjustRightInd/>
              <w:spacing w:after="0"/>
              <w:jc w:val="right"/>
              <w:rPr>
                <w:rFonts w:eastAsia="Times New Roman" w:cs="Arial"/>
                <w:b/>
                <w:bCs/>
                <w:lang w:eastAsia="en-GB"/>
              </w:rPr>
            </w:pPr>
            <w:r>
              <w:rPr>
                <w:rFonts w:eastAsia="Times New Roman" w:cs="Arial"/>
                <w:b/>
                <w:bCs/>
                <w:lang w:eastAsia="en-GB"/>
              </w:rPr>
              <w:t>46.349</w:t>
            </w:r>
          </w:p>
        </w:tc>
      </w:tr>
      <w:tr w:rsidR="00C3717D" w:rsidTr="0046463C">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tcPr>
          <w:p w:rsidR="0046463C" w:rsidRPr="00D36C8A" w:rsidRDefault="00390D21" w:rsidP="0046463C">
            <w:pPr>
              <w:autoSpaceDE/>
              <w:autoSpaceDN/>
              <w:adjustRightInd/>
              <w:spacing w:after="0"/>
              <w:rPr>
                <w:rFonts w:eastAsia="Times New Roman" w:cs="Arial"/>
                <w:b/>
                <w:bCs/>
                <w:lang w:eastAsia="en-GB"/>
              </w:rPr>
            </w:pPr>
          </w:p>
        </w:tc>
        <w:tc>
          <w:tcPr>
            <w:tcW w:w="1181" w:type="dxa"/>
            <w:tcBorders>
              <w:top w:val="single" w:sz="4" w:space="0" w:color="auto"/>
              <w:left w:val="nil"/>
              <w:bottom w:val="single" w:sz="8" w:space="0" w:color="auto"/>
              <w:right w:val="single" w:sz="8" w:space="0" w:color="auto"/>
            </w:tcBorders>
            <w:shd w:val="clear" w:color="auto" w:fill="auto"/>
            <w:noWrap/>
            <w:vAlign w:val="center"/>
          </w:tcPr>
          <w:p w:rsidR="0046463C" w:rsidRPr="00D36C8A" w:rsidRDefault="00390D21" w:rsidP="0046463C">
            <w:pPr>
              <w:autoSpaceDE/>
              <w:autoSpaceDN/>
              <w:adjustRightInd/>
              <w:spacing w:after="0"/>
              <w:jc w:val="right"/>
              <w:rPr>
                <w:rFonts w:eastAsia="Times New Roman" w:cs="Arial"/>
                <w:b/>
                <w:bCs/>
                <w:lang w:eastAsia="en-GB"/>
              </w:rPr>
            </w:pPr>
          </w:p>
        </w:tc>
        <w:tc>
          <w:tcPr>
            <w:tcW w:w="1181" w:type="dxa"/>
            <w:tcBorders>
              <w:top w:val="single" w:sz="4" w:space="0" w:color="auto"/>
              <w:left w:val="nil"/>
              <w:bottom w:val="single" w:sz="8" w:space="0" w:color="auto"/>
              <w:right w:val="single" w:sz="8" w:space="0" w:color="auto"/>
            </w:tcBorders>
            <w:shd w:val="clear" w:color="auto" w:fill="auto"/>
            <w:noWrap/>
            <w:vAlign w:val="center"/>
          </w:tcPr>
          <w:p w:rsidR="0046463C" w:rsidRPr="00D36C8A" w:rsidRDefault="00390D21" w:rsidP="0046463C">
            <w:pPr>
              <w:autoSpaceDE/>
              <w:autoSpaceDN/>
              <w:adjustRightInd/>
              <w:spacing w:after="0"/>
              <w:jc w:val="right"/>
              <w:rPr>
                <w:rFonts w:eastAsia="Times New Roman" w:cs="Arial"/>
                <w:b/>
                <w:bCs/>
                <w:lang w:eastAsia="en-GB"/>
              </w:rPr>
            </w:pPr>
          </w:p>
        </w:tc>
        <w:tc>
          <w:tcPr>
            <w:tcW w:w="1181" w:type="dxa"/>
            <w:tcBorders>
              <w:top w:val="single" w:sz="4" w:space="0" w:color="auto"/>
              <w:left w:val="nil"/>
              <w:bottom w:val="single" w:sz="8" w:space="0" w:color="auto"/>
              <w:right w:val="single" w:sz="8" w:space="0" w:color="auto"/>
            </w:tcBorders>
            <w:shd w:val="clear" w:color="auto" w:fill="auto"/>
            <w:noWrap/>
            <w:vAlign w:val="center"/>
          </w:tcPr>
          <w:p w:rsidR="0046463C" w:rsidRPr="00D36C8A" w:rsidRDefault="00390D21" w:rsidP="0046463C">
            <w:pPr>
              <w:autoSpaceDE/>
              <w:autoSpaceDN/>
              <w:adjustRightInd/>
              <w:spacing w:after="0"/>
              <w:jc w:val="right"/>
              <w:rPr>
                <w:rFonts w:eastAsia="Times New Roman" w:cs="Arial"/>
                <w:b/>
                <w:bCs/>
                <w:lang w:eastAsia="en-GB"/>
              </w:rPr>
            </w:pPr>
          </w:p>
        </w:tc>
        <w:tc>
          <w:tcPr>
            <w:tcW w:w="1181" w:type="dxa"/>
            <w:tcBorders>
              <w:top w:val="nil"/>
              <w:left w:val="nil"/>
              <w:bottom w:val="single" w:sz="8" w:space="0" w:color="auto"/>
              <w:right w:val="single" w:sz="8" w:space="0" w:color="auto"/>
            </w:tcBorders>
            <w:shd w:val="clear" w:color="auto" w:fill="auto"/>
            <w:noWrap/>
            <w:vAlign w:val="center"/>
          </w:tcPr>
          <w:p w:rsidR="0046463C" w:rsidRPr="00D36C8A" w:rsidRDefault="00390D21" w:rsidP="0046463C">
            <w:pPr>
              <w:autoSpaceDE/>
              <w:autoSpaceDN/>
              <w:adjustRightInd/>
              <w:spacing w:after="0"/>
              <w:jc w:val="right"/>
              <w:rPr>
                <w:rFonts w:eastAsia="Times New Roman" w:cs="Arial"/>
                <w:b/>
                <w:bCs/>
                <w:lang w:eastAsia="en-GB"/>
              </w:rPr>
            </w:pPr>
          </w:p>
        </w:tc>
      </w:tr>
      <w:tr w:rsidR="00C3717D" w:rsidTr="0046463C">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hideMark/>
          </w:tcPr>
          <w:p w:rsidR="0046463C" w:rsidRPr="00D36C8A" w:rsidRDefault="00390D21" w:rsidP="0046463C">
            <w:pPr>
              <w:autoSpaceDE/>
              <w:autoSpaceDN/>
              <w:adjustRightInd/>
              <w:spacing w:after="0"/>
              <w:rPr>
                <w:rFonts w:eastAsia="Times New Roman" w:cs="Arial"/>
                <w:b/>
                <w:bCs/>
                <w:lang w:eastAsia="en-GB"/>
              </w:rPr>
            </w:pPr>
            <w:r w:rsidRPr="00D36C8A">
              <w:rPr>
                <w:rFonts w:eastAsia="Times New Roman" w:cs="Arial"/>
                <w:b/>
                <w:bCs/>
                <w:lang w:eastAsia="en-GB"/>
              </w:rPr>
              <w:t>Variance</w:t>
            </w:r>
          </w:p>
        </w:tc>
        <w:tc>
          <w:tcPr>
            <w:tcW w:w="1181" w:type="dxa"/>
            <w:tcBorders>
              <w:top w:val="nil"/>
              <w:left w:val="nil"/>
              <w:bottom w:val="single" w:sz="8" w:space="0" w:color="auto"/>
              <w:right w:val="single" w:sz="8" w:space="0" w:color="auto"/>
            </w:tcBorders>
            <w:shd w:val="clear" w:color="auto" w:fill="auto"/>
            <w:noWrap/>
            <w:vAlign w:val="center"/>
          </w:tcPr>
          <w:p w:rsidR="0046463C" w:rsidRPr="00D36C8A" w:rsidRDefault="00390D21" w:rsidP="0046463C">
            <w:pPr>
              <w:autoSpaceDE/>
              <w:autoSpaceDN/>
              <w:adjustRightInd/>
              <w:spacing w:after="0"/>
              <w:jc w:val="right"/>
              <w:rPr>
                <w:rFonts w:eastAsia="Times New Roman" w:cs="Arial"/>
                <w:b/>
                <w:bCs/>
                <w:lang w:eastAsia="en-GB"/>
              </w:rPr>
            </w:pPr>
            <w:r>
              <w:rPr>
                <w:rFonts w:eastAsia="Times New Roman" w:cs="Arial"/>
                <w:b/>
                <w:bCs/>
                <w:lang w:eastAsia="en-GB"/>
              </w:rPr>
              <w:t>3.521</w:t>
            </w:r>
          </w:p>
        </w:tc>
        <w:tc>
          <w:tcPr>
            <w:tcW w:w="1181" w:type="dxa"/>
            <w:tcBorders>
              <w:top w:val="nil"/>
              <w:left w:val="nil"/>
              <w:bottom w:val="single" w:sz="8" w:space="0" w:color="auto"/>
              <w:right w:val="single" w:sz="8" w:space="0" w:color="auto"/>
            </w:tcBorders>
            <w:shd w:val="clear" w:color="auto" w:fill="auto"/>
            <w:noWrap/>
            <w:vAlign w:val="center"/>
          </w:tcPr>
          <w:p w:rsidR="0046463C" w:rsidRPr="00D36C8A" w:rsidRDefault="00390D21" w:rsidP="0046463C">
            <w:pPr>
              <w:autoSpaceDE/>
              <w:autoSpaceDN/>
              <w:adjustRightInd/>
              <w:spacing w:after="0"/>
              <w:jc w:val="right"/>
              <w:rPr>
                <w:rFonts w:eastAsia="Times New Roman" w:cs="Arial"/>
                <w:b/>
                <w:bCs/>
                <w:lang w:eastAsia="en-GB"/>
              </w:rPr>
            </w:pPr>
            <w:r>
              <w:rPr>
                <w:rFonts w:eastAsia="Times New Roman" w:cs="Arial"/>
                <w:b/>
                <w:bCs/>
                <w:lang w:eastAsia="en-GB"/>
              </w:rPr>
              <w:t>-1.313</w:t>
            </w:r>
          </w:p>
        </w:tc>
        <w:tc>
          <w:tcPr>
            <w:tcW w:w="1181" w:type="dxa"/>
            <w:tcBorders>
              <w:top w:val="nil"/>
              <w:left w:val="nil"/>
              <w:bottom w:val="single" w:sz="8" w:space="0" w:color="auto"/>
              <w:right w:val="single" w:sz="8" w:space="0" w:color="auto"/>
            </w:tcBorders>
            <w:shd w:val="clear" w:color="auto" w:fill="auto"/>
            <w:noWrap/>
            <w:vAlign w:val="center"/>
          </w:tcPr>
          <w:p w:rsidR="0046463C" w:rsidRPr="00D36C8A" w:rsidRDefault="00390D21" w:rsidP="0046463C">
            <w:pPr>
              <w:autoSpaceDE/>
              <w:autoSpaceDN/>
              <w:adjustRightInd/>
              <w:spacing w:after="0"/>
              <w:jc w:val="right"/>
              <w:rPr>
                <w:rFonts w:eastAsia="Times New Roman" w:cs="Arial"/>
                <w:b/>
                <w:bCs/>
                <w:lang w:eastAsia="en-GB"/>
              </w:rPr>
            </w:pPr>
            <w:r>
              <w:rPr>
                <w:rFonts w:eastAsia="Times New Roman" w:cs="Arial"/>
                <w:b/>
                <w:bCs/>
                <w:lang w:eastAsia="en-GB"/>
              </w:rPr>
              <w:t>-0.851</w:t>
            </w:r>
          </w:p>
        </w:tc>
        <w:tc>
          <w:tcPr>
            <w:tcW w:w="1181" w:type="dxa"/>
            <w:tcBorders>
              <w:top w:val="nil"/>
              <w:left w:val="nil"/>
              <w:bottom w:val="single" w:sz="8" w:space="0" w:color="auto"/>
              <w:right w:val="single" w:sz="8" w:space="0" w:color="auto"/>
            </w:tcBorders>
            <w:shd w:val="clear" w:color="auto" w:fill="auto"/>
            <w:noWrap/>
            <w:vAlign w:val="center"/>
          </w:tcPr>
          <w:p w:rsidR="0046463C" w:rsidRPr="00D36C8A" w:rsidRDefault="00390D21" w:rsidP="0046463C">
            <w:pPr>
              <w:autoSpaceDE/>
              <w:autoSpaceDN/>
              <w:adjustRightInd/>
              <w:spacing w:after="0"/>
              <w:jc w:val="right"/>
              <w:rPr>
                <w:rFonts w:eastAsia="Times New Roman" w:cs="Arial"/>
                <w:b/>
                <w:bCs/>
                <w:lang w:eastAsia="en-GB"/>
              </w:rPr>
            </w:pPr>
            <w:r>
              <w:rPr>
                <w:rFonts w:eastAsia="Times New Roman" w:cs="Arial"/>
                <w:b/>
                <w:bCs/>
                <w:lang w:eastAsia="en-GB"/>
              </w:rPr>
              <w:t>1.357</w:t>
            </w:r>
          </w:p>
        </w:tc>
      </w:tr>
    </w:tbl>
    <w:p w:rsidR="0046463C" w:rsidRPr="00E95F45" w:rsidRDefault="00390D21" w:rsidP="0046463C">
      <w:pPr>
        <w:tabs>
          <w:tab w:val="left" w:pos="567"/>
          <w:tab w:val="left" w:pos="1134"/>
        </w:tabs>
        <w:spacing w:after="0"/>
        <w:rPr>
          <w:rFonts w:cs="Arial"/>
          <w:highlight w:val="yellow"/>
        </w:rPr>
      </w:pPr>
    </w:p>
    <w:p w:rsidR="0046463C" w:rsidRPr="00834452" w:rsidRDefault="00390D21" w:rsidP="0046463C">
      <w:pPr>
        <w:spacing w:after="0"/>
        <w:rPr>
          <w:rFonts w:cs="Arial"/>
        </w:rPr>
      </w:pPr>
      <w:r w:rsidRPr="00834452">
        <w:rPr>
          <w:rFonts w:cs="Arial"/>
        </w:rPr>
        <w:t>Adult social care represents</w:t>
      </w:r>
      <w:r w:rsidRPr="00834452">
        <w:rPr>
          <w:rFonts w:cs="Arial"/>
        </w:rPr>
        <w:t xml:space="preserve"> a large proportion of the demand</w:t>
      </w:r>
      <w:r w:rsidRPr="00834452">
        <w:rPr>
          <w:rFonts w:cs="Arial"/>
          <w:b/>
        </w:rPr>
        <w:t xml:space="preserve"> </w:t>
      </w:r>
      <w:r w:rsidRPr="00834452">
        <w:rPr>
          <w:rFonts w:cs="Arial"/>
        </w:rPr>
        <w:t>pressures.</w:t>
      </w:r>
      <w:r w:rsidRPr="00834452">
        <w:rPr>
          <w:rFonts w:cs="Arial"/>
          <w:b/>
        </w:rPr>
        <w:t xml:space="preserve">  </w:t>
      </w:r>
      <w:r w:rsidRPr="00834452">
        <w:rPr>
          <w:rFonts w:cs="Arial"/>
        </w:rPr>
        <w:t>Adult social care has long seen annual increases in the demand for services and the MTFS attempts to predict growth in future years largely based on reviewing current and past activity trends and also taking in</w:t>
      </w:r>
      <w:r w:rsidRPr="00834452">
        <w:rPr>
          <w:rFonts w:cs="Arial"/>
        </w:rPr>
        <w:t xml:space="preserve">to account future population changes, particularly with regard to the ageing population. From a social care perspective demand covers both increasing numbers of people eligible for support and the increasing complexity of those cases.  The level of demand </w:t>
      </w:r>
      <w:r w:rsidRPr="00834452">
        <w:rPr>
          <w:rFonts w:cs="Arial"/>
        </w:rPr>
        <w:t xml:space="preserve">included for this service area for the three years to 2023/24 is £28.633m. This will continue to be monitored and figures may be updated in future MTFS reports. </w:t>
      </w:r>
    </w:p>
    <w:p w:rsidR="0046463C" w:rsidRPr="0049468E" w:rsidRDefault="00390D21" w:rsidP="0046463C">
      <w:pPr>
        <w:spacing w:after="0"/>
        <w:ind w:left="502"/>
        <w:rPr>
          <w:rFonts w:cs="Arial"/>
          <w:highlight w:val="yellow"/>
        </w:rPr>
      </w:pPr>
    </w:p>
    <w:p w:rsidR="0046463C" w:rsidRDefault="00390D21" w:rsidP="0046463C">
      <w:pPr>
        <w:spacing w:after="0"/>
        <w:rPr>
          <w:rFonts w:cs="Arial"/>
        </w:rPr>
      </w:pPr>
      <w:r w:rsidRPr="00834452">
        <w:rPr>
          <w:rFonts w:cs="Arial"/>
        </w:rPr>
        <w:t>Children's social care continues to experience demand pressures across the service, particula</w:t>
      </w:r>
      <w:r w:rsidRPr="00834452">
        <w:rPr>
          <w:rFonts w:cs="Arial"/>
        </w:rPr>
        <w:t xml:space="preserve">rly in relation to placement demand due to the number of looked after children in Lancashire. We are working towards the implementation of the Lancashire family safeguarding. The </w:t>
      </w:r>
      <w:r w:rsidRPr="00834452">
        <w:rPr>
          <w:rFonts w:cs="Arial"/>
          <w:bCs/>
        </w:rPr>
        <w:t>family safeguarding model</w:t>
      </w:r>
      <w:r w:rsidRPr="00834452">
        <w:rPr>
          <w:rFonts w:cs="Arial"/>
        </w:rPr>
        <w:t xml:space="preserve"> is a way of keeping </w:t>
      </w:r>
      <w:r w:rsidRPr="00834452">
        <w:rPr>
          <w:rFonts w:cs="Arial"/>
          <w:bCs/>
        </w:rPr>
        <w:t>families</w:t>
      </w:r>
      <w:r w:rsidRPr="00834452">
        <w:rPr>
          <w:rFonts w:cs="Arial"/>
        </w:rPr>
        <w:t xml:space="preserve"> together where it is s</w:t>
      </w:r>
      <w:r w:rsidRPr="00834452">
        <w:rPr>
          <w:rFonts w:cs="Arial"/>
        </w:rPr>
        <w:t xml:space="preserve">afe to do so. This is achieved through a more collaborative way of working where we motivate parents to identify the changes needed within their own </w:t>
      </w:r>
      <w:r w:rsidRPr="00834452">
        <w:rPr>
          <w:rFonts w:cs="Arial"/>
          <w:bCs/>
        </w:rPr>
        <w:t>families</w:t>
      </w:r>
      <w:r w:rsidRPr="00834452">
        <w:rPr>
          <w:rFonts w:cs="Arial"/>
        </w:rPr>
        <w:t xml:space="preserve">. This helps achieve better outcomes for children. </w:t>
      </w:r>
    </w:p>
    <w:p w:rsidR="0046463C" w:rsidRDefault="00390D21" w:rsidP="0046463C">
      <w:pPr>
        <w:spacing w:after="0"/>
        <w:rPr>
          <w:rFonts w:cs="Arial"/>
        </w:rPr>
      </w:pPr>
    </w:p>
    <w:p w:rsidR="0046463C" w:rsidRDefault="00390D21" w:rsidP="0046463C">
      <w:pPr>
        <w:spacing w:after="0"/>
        <w:rPr>
          <w:rFonts w:cs="Arial"/>
        </w:rPr>
      </w:pPr>
      <w:r>
        <w:rPr>
          <w:rFonts w:cs="Arial"/>
        </w:rPr>
        <w:t>Additional demand has been included at quarter</w:t>
      </w:r>
      <w:r>
        <w:rPr>
          <w:rFonts w:cs="Arial"/>
        </w:rPr>
        <w:t xml:space="preserve"> 3 to reflect ongoing pressures across legal services due to pre-proceedings cases in children’s social care. This is reported as a pressure within budget monitoring for 2020/21 and as we expect this to be a recurrent pressure it has been included in the M</w:t>
      </w:r>
      <w:r>
        <w:rPr>
          <w:rFonts w:cs="Arial"/>
        </w:rPr>
        <w:t xml:space="preserve">TFS. </w:t>
      </w:r>
    </w:p>
    <w:p w:rsidR="0046463C" w:rsidRDefault="00390D21" w:rsidP="0046463C">
      <w:pPr>
        <w:spacing w:after="0"/>
        <w:rPr>
          <w:rFonts w:cs="Arial"/>
        </w:rPr>
      </w:pPr>
    </w:p>
    <w:p w:rsidR="0046463C" w:rsidRDefault="00390D21" w:rsidP="0046463C">
      <w:pPr>
        <w:spacing w:after="0"/>
        <w:rPr>
          <w:rFonts w:cs="Arial"/>
        </w:rPr>
      </w:pPr>
      <w:r>
        <w:rPr>
          <w:rFonts w:cs="Arial"/>
        </w:rPr>
        <w:t>A review has been undertaken of the ICT infrastructure budget to support the county council over coming years, particularly following the change in working arrangements due to Covid-19. An additional estimated budget shortfall of £2.700m has been in</w:t>
      </w:r>
      <w:r>
        <w:rPr>
          <w:rFonts w:cs="Arial"/>
        </w:rPr>
        <w:t xml:space="preserve">cluded at this stage, however work will continue to refine this figure as the pandemic and our new ways of working develop over the next few months. </w:t>
      </w:r>
    </w:p>
    <w:p w:rsidR="0046463C" w:rsidRDefault="00390D21" w:rsidP="0046463C">
      <w:pPr>
        <w:spacing w:after="0"/>
        <w:rPr>
          <w:rFonts w:cs="Arial"/>
        </w:rPr>
      </w:pPr>
    </w:p>
    <w:p w:rsidR="0046463C" w:rsidRDefault="00390D21" w:rsidP="0046463C">
      <w:pPr>
        <w:spacing w:after="0"/>
        <w:rPr>
          <w:rFonts w:cs="Arial"/>
          <w:b/>
        </w:rPr>
      </w:pPr>
      <w:r w:rsidRPr="002F06DC">
        <w:rPr>
          <w:rFonts w:cs="Arial"/>
          <w:b/>
        </w:rPr>
        <w:t xml:space="preserve">3.4 Other Adjustments  </w:t>
      </w:r>
    </w:p>
    <w:p w:rsidR="0046463C" w:rsidRDefault="00390D21" w:rsidP="0046463C">
      <w:pPr>
        <w:spacing w:after="0"/>
        <w:rPr>
          <w:rFonts w:cs="Arial"/>
        </w:rPr>
      </w:pPr>
      <w:r>
        <w:rPr>
          <w:rFonts w:cs="Arial"/>
        </w:rPr>
        <w:t>As part of the spending review 2020 additional funding was announced to support budgetary pressures in 2021/22 as a result of the pandemic. This section of the MTFS therefore includes the additional expenditure related to this funding. This is one-off fund</w:t>
      </w:r>
      <w:r>
        <w:rPr>
          <w:rFonts w:cs="Arial"/>
        </w:rPr>
        <w:t xml:space="preserve">ing and is therefore removed from the MTFS in 2022/23. </w:t>
      </w:r>
    </w:p>
    <w:p w:rsidR="0046463C" w:rsidRDefault="00390D21" w:rsidP="0046463C">
      <w:pPr>
        <w:spacing w:after="0"/>
        <w:rPr>
          <w:rFonts w:cs="Arial"/>
        </w:rPr>
      </w:pPr>
    </w:p>
    <w:p w:rsidR="0046463C" w:rsidRDefault="00390D21" w:rsidP="0046463C">
      <w:pPr>
        <w:spacing w:after="0"/>
        <w:rPr>
          <w:rFonts w:cs="Arial"/>
        </w:rPr>
      </w:pPr>
      <w:r>
        <w:rPr>
          <w:rFonts w:cs="Arial"/>
        </w:rPr>
        <w:t xml:space="preserve">In addition, a pressure has been identified across the capital financing budget and additional costs are expected to be incurred. An additional £2.000m has been included recurrently to support this budget pressure. </w:t>
      </w:r>
    </w:p>
    <w:p w:rsidR="0046463C" w:rsidRDefault="00390D21" w:rsidP="0046463C">
      <w:pPr>
        <w:spacing w:after="0"/>
        <w:rPr>
          <w:rFonts w:cs="Arial"/>
        </w:rPr>
      </w:pPr>
    </w:p>
    <w:p w:rsidR="0046463C" w:rsidRDefault="00390D21" w:rsidP="0046463C">
      <w:pPr>
        <w:spacing w:after="0"/>
        <w:rPr>
          <w:rFonts w:cs="Arial"/>
        </w:rPr>
      </w:pPr>
      <w:r>
        <w:rPr>
          <w:rFonts w:cs="Arial"/>
        </w:rPr>
        <w:t>A review of the schools advisory servic</w:t>
      </w:r>
      <w:r>
        <w:rPr>
          <w:rFonts w:cs="Arial"/>
        </w:rPr>
        <w:t xml:space="preserve">e and the delivery model that the service operates with, particularly in relation to income generation, has resulted in agreement that the income target should be reduced. The pressure of £0.975m has been included within the MTFS at quarter 3. </w:t>
      </w:r>
    </w:p>
    <w:p w:rsidR="0046463C" w:rsidRDefault="00390D21" w:rsidP="0046463C">
      <w:pPr>
        <w:spacing w:after="0"/>
        <w:rPr>
          <w:rFonts w:cs="Arial"/>
        </w:rPr>
      </w:pPr>
    </w:p>
    <w:p w:rsidR="0046463C" w:rsidRPr="002F06DC" w:rsidRDefault="00390D21" w:rsidP="0046463C">
      <w:pPr>
        <w:spacing w:after="0"/>
        <w:rPr>
          <w:rFonts w:cs="Arial"/>
        </w:rPr>
      </w:pPr>
      <w:r>
        <w:rPr>
          <w:rFonts w:cs="Arial"/>
        </w:rPr>
        <w:t>Finally, t</w:t>
      </w:r>
      <w:r>
        <w:rPr>
          <w:rFonts w:cs="Arial"/>
        </w:rPr>
        <w:t xml:space="preserve">o ensure that the insurance provision is maintained at a level that will provide coverage of the estimated level of risk for the county council, a recurrent additional contribution to the insurance provision of £0.500m per annum has been included. </w:t>
      </w:r>
    </w:p>
    <w:p w:rsidR="0046463C" w:rsidRPr="002F06DC" w:rsidRDefault="00390D21" w:rsidP="0046463C">
      <w:pPr>
        <w:spacing w:after="0"/>
        <w:rPr>
          <w:rFonts w:cs="Arial"/>
          <w:b/>
        </w:rPr>
      </w:pPr>
    </w:p>
    <w:p w:rsidR="0046463C" w:rsidRDefault="00390D21" w:rsidP="0046463C">
      <w:pPr>
        <w:spacing w:after="0"/>
        <w:rPr>
          <w:rFonts w:cs="Arial"/>
          <w:highlight w:val="yellow"/>
        </w:rPr>
      </w:pPr>
    </w:p>
    <w:p w:rsidR="0046463C" w:rsidRPr="00E95F45" w:rsidRDefault="00390D21" w:rsidP="0046463C">
      <w:pPr>
        <w:spacing w:after="0"/>
        <w:rPr>
          <w:rFonts w:cs="Arial"/>
          <w:highlight w:val="yellow"/>
        </w:rPr>
      </w:pPr>
    </w:p>
    <w:p w:rsidR="0046463C" w:rsidRPr="00F92AC1" w:rsidRDefault="00390D21" w:rsidP="0046463C">
      <w:pPr>
        <w:spacing w:after="0"/>
        <w:rPr>
          <w:rFonts w:cs="Arial"/>
          <w:b/>
        </w:rPr>
      </w:pPr>
      <w:r w:rsidRPr="00F92AC1">
        <w:rPr>
          <w:rFonts w:cs="Arial"/>
          <w:b/>
        </w:rPr>
        <w:lastRenderedPageBreak/>
        <w:t xml:space="preserve">3.5 </w:t>
      </w:r>
      <w:r w:rsidRPr="00F92AC1">
        <w:rPr>
          <w:rFonts w:cs="Arial"/>
          <w:b/>
        </w:rPr>
        <w:t>Additional Grant</w:t>
      </w:r>
    </w:p>
    <w:p w:rsidR="0046463C" w:rsidRDefault="00390D21" w:rsidP="0046463C">
      <w:pPr>
        <w:spacing w:after="0"/>
        <w:rPr>
          <w:rFonts w:cs="Arial"/>
        </w:rPr>
      </w:pPr>
      <w:r>
        <w:rPr>
          <w:rFonts w:cs="Arial"/>
        </w:rPr>
        <w:t>This section includes additional Covid support grant of £25.994m and estimated sales fees and charges compensatory support of £2.300m. In addition a small adjustment has been made to the profiling of grant income for the family safeguardin</w:t>
      </w:r>
      <w:r>
        <w:rPr>
          <w:rFonts w:cs="Arial"/>
        </w:rPr>
        <w:t xml:space="preserve">g project. </w:t>
      </w:r>
    </w:p>
    <w:p w:rsidR="0046463C" w:rsidRDefault="00390D21" w:rsidP="0046463C">
      <w:pPr>
        <w:spacing w:after="0"/>
        <w:rPr>
          <w:rFonts w:cs="Arial"/>
        </w:rPr>
      </w:pPr>
    </w:p>
    <w:p w:rsidR="0046463C" w:rsidRDefault="00390D21" w:rsidP="0046463C">
      <w:pPr>
        <w:spacing w:after="0"/>
        <w:rPr>
          <w:rFonts w:cs="Arial"/>
          <w:b/>
        </w:rPr>
      </w:pPr>
      <w:r w:rsidRPr="00F92AC1">
        <w:rPr>
          <w:rFonts w:cs="Arial"/>
          <w:b/>
        </w:rPr>
        <w:t>3.6 Undeliverable Savings</w:t>
      </w:r>
    </w:p>
    <w:p w:rsidR="0046463C" w:rsidRPr="00F92AC1" w:rsidRDefault="00390D21" w:rsidP="0046463C">
      <w:pPr>
        <w:spacing w:after="0"/>
        <w:rPr>
          <w:rFonts w:cs="Arial"/>
        </w:rPr>
      </w:pPr>
      <w:r>
        <w:rPr>
          <w:rFonts w:cs="Arial"/>
        </w:rPr>
        <w:t>Following a review of savings it has been identified that a saving within Adult Services that related to the transfer of a service to the county council (SC513) is partially undeliverable, with £370,000 built back int</w:t>
      </w:r>
      <w:r>
        <w:rPr>
          <w:rFonts w:cs="Arial"/>
        </w:rPr>
        <w:t xml:space="preserve">o the budget from 2021/22. </w:t>
      </w:r>
    </w:p>
    <w:p w:rsidR="0046463C" w:rsidRPr="00F92AC1" w:rsidRDefault="00390D21" w:rsidP="0046463C">
      <w:pPr>
        <w:spacing w:after="0"/>
        <w:rPr>
          <w:rFonts w:cs="Arial"/>
        </w:rPr>
      </w:pPr>
    </w:p>
    <w:p w:rsidR="0046463C" w:rsidRPr="005D56A7" w:rsidRDefault="00390D21" w:rsidP="0046463C">
      <w:pPr>
        <w:tabs>
          <w:tab w:val="left" w:pos="567"/>
          <w:tab w:val="left" w:pos="1134"/>
        </w:tabs>
        <w:spacing w:after="0"/>
        <w:rPr>
          <w:rFonts w:cs="Arial"/>
          <w:b/>
        </w:rPr>
      </w:pPr>
      <w:r w:rsidRPr="005D56A7">
        <w:rPr>
          <w:rFonts w:cs="Arial"/>
          <w:b/>
        </w:rPr>
        <w:t>3.7 Re-profiled Savings</w:t>
      </w:r>
    </w:p>
    <w:p w:rsidR="0046463C" w:rsidRDefault="00390D21" w:rsidP="0046463C">
      <w:pPr>
        <w:tabs>
          <w:tab w:val="left" w:pos="567"/>
          <w:tab w:val="left" w:pos="1134"/>
        </w:tabs>
        <w:spacing w:after="0"/>
        <w:rPr>
          <w:rFonts w:cs="Arial"/>
        </w:rPr>
      </w:pPr>
      <w:r w:rsidRPr="005D56A7">
        <w:rPr>
          <w:rFonts w:cs="Arial"/>
        </w:rPr>
        <w:t>As part of the budget monitoring process a review of the delivery of savings is undertaken. Over recent months there are several savings that have been reviewed and challenged in relation to the delivery</w:t>
      </w:r>
      <w:r w:rsidRPr="005D56A7">
        <w:rPr>
          <w:rFonts w:cs="Arial"/>
        </w:rPr>
        <w:t xml:space="preserve"> timescales for different elements of the agreed savings, with challenge given to the service as to whether this can be offset by savings/underspends elsewhere. Following this rigorous process savings across integrated transport and family safeguarding hav</w:t>
      </w:r>
      <w:r w:rsidRPr="005D56A7">
        <w:rPr>
          <w:rFonts w:cs="Arial"/>
        </w:rPr>
        <w:t>e been re-profiled at quarter 3.</w:t>
      </w:r>
      <w:r>
        <w:rPr>
          <w:rFonts w:cs="Arial"/>
        </w:rPr>
        <w:t xml:space="preserve"> </w:t>
      </w:r>
    </w:p>
    <w:p w:rsidR="0046463C" w:rsidRDefault="00390D21" w:rsidP="0046463C">
      <w:pPr>
        <w:tabs>
          <w:tab w:val="left" w:pos="567"/>
          <w:tab w:val="left" w:pos="1134"/>
        </w:tabs>
        <w:spacing w:after="0"/>
        <w:rPr>
          <w:rFonts w:cs="Arial"/>
        </w:rPr>
      </w:pPr>
    </w:p>
    <w:p w:rsidR="0046463C" w:rsidRDefault="00390D21" w:rsidP="0046463C">
      <w:pPr>
        <w:tabs>
          <w:tab w:val="left" w:pos="567"/>
          <w:tab w:val="left" w:pos="1134"/>
        </w:tabs>
        <w:spacing w:after="0"/>
        <w:rPr>
          <w:rFonts w:cs="Arial"/>
          <w:b/>
        </w:rPr>
      </w:pPr>
      <w:r w:rsidRPr="005D56A7">
        <w:rPr>
          <w:rFonts w:cs="Arial"/>
          <w:b/>
        </w:rPr>
        <w:t>3.8 Covid Impact/Pressures</w:t>
      </w:r>
    </w:p>
    <w:p w:rsidR="0046463C" w:rsidRPr="005D56A7" w:rsidRDefault="00390D21" w:rsidP="0046463C">
      <w:pPr>
        <w:tabs>
          <w:tab w:val="left" w:pos="567"/>
          <w:tab w:val="left" w:pos="1134"/>
        </w:tabs>
        <w:spacing w:after="0"/>
        <w:rPr>
          <w:rFonts w:cs="Arial"/>
        </w:rPr>
      </w:pPr>
      <w:r>
        <w:rPr>
          <w:rFonts w:cs="Arial"/>
        </w:rPr>
        <w:t>An adjustment has been made to reflect a revised estimate of the pressure that could be incurred across children’ social care due to Covid-19. This is following a review of the base demand requi</w:t>
      </w:r>
      <w:r>
        <w:rPr>
          <w:rFonts w:cs="Arial"/>
        </w:rPr>
        <w:t xml:space="preserve">rements for the service and the in-year position as part of budget monitoring. </w:t>
      </w:r>
    </w:p>
    <w:p w:rsidR="0046463C" w:rsidRDefault="00390D21" w:rsidP="0046463C">
      <w:pPr>
        <w:tabs>
          <w:tab w:val="left" w:pos="567"/>
          <w:tab w:val="left" w:pos="1134"/>
        </w:tabs>
        <w:spacing w:after="0"/>
        <w:rPr>
          <w:rFonts w:cs="Arial"/>
        </w:rPr>
      </w:pPr>
    </w:p>
    <w:p w:rsidR="0046463C" w:rsidRPr="004D74A8" w:rsidRDefault="00390D21" w:rsidP="0046463C">
      <w:pPr>
        <w:tabs>
          <w:tab w:val="left" w:pos="567"/>
          <w:tab w:val="left" w:pos="1134"/>
        </w:tabs>
        <w:spacing w:after="0"/>
        <w:rPr>
          <w:rFonts w:cs="Arial"/>
        </w:rPr>
      </w:pPr>
    </w:p>
    <w:p w:rsidR="0046463C" w:rsidRPr="00E95F45" w:rsidRDefault="00390D21" w:rsidP="0046463C">
      <w:pPr>
        <w:tabs>
          <w:tab w:val="left" w:pos="567"/>
          <w:tab w:val="left" w:pos="1134"/>
        </w:tabs>
        <w:spacing w:after="0"/>
        <w:rPr>
          <w:rFonts w:cs="Arial"/>
          <w:highlight w:val="yellow"/>
        </w:rPr>
      </w:pPr>
    </w:p>
    <w:p w:rsidR="0046463C" w:rsidRPr="00E95F45" w:rsidRDefault="00390D21" w:rsidP="0046463C">
      <w:pPr>
        <w:tabs>
          <w:tab w:val="left" w:pos="567"/>
          <w:tab w:val="left" w:pos="1134"/>
        </w:tabs>
        <w:spacing w:after="0"/>
        <w:rPr>
          <w:rFonts w:cs="Arial"/>
          <w:highlight w:val="yellow"/>
        </w:rPr>
      </w:pPr>
    </w:p>
    <w:p w:rsidR="0046463C" w:rsidRPr="00E95F45" w:rsidRDefault="00390D21" w:rsidP="0046463C">
      <w:pPr>
        <w:tabs>
          <w:tab w:val="left" w:pos="567"/>
          <w:tab w:val="left" w:pos="1134"/>
        </w:tabs>
        <w:spacing w:after="0"/>
        <w:rPr>
          <w:rFonts w:cs="Arial"/>
          <w:highlight w:val="yellow"/>
        </w:rPr>
      </w:pPr>
    </w:p>
    <w:p w:rsidR="0046463C" w:rsidRPr="00E95F45" w:rsidRDefault="00390D21" w:rsidP="0046463C">
      <w:pPr>
        <w:tabs>
          <w:tab w:val="left" w:pos="567"/>
          <w:tab w:val="left" w:pos="1134"/>
        </w:tabs>
        <w:spacing w:after="0"/>
        <w:rPr>
          <w:rFonts w:cs="Arial"/>
          <w:highlight w:val="yellow"/>
        </w:rPr>
      </w:pPr>
    </w:p>
    <w:p w:rsidR="0046463C" w:rsidRPr="00E95F45" w:rsidRDefault="00390D21" w:rsidP="0046463C">
      <w:pPr>
        <w:tabs>
          <w:tab w:val="left" w:pos="567"/>
          <w:tab w:val="left" w:pos="1134"/>
        </w:tabs>
        <w:spacing w:after="0"/>
        <w:rPr>
          <w:rFonts w:cs="Arial"/>
          <w:highlight w:val="yellow"/>
        </w:rPr>
      </w:pPr>
    </w:p>
    <w:p w:rsidR="0046463C" w:rsidRPr="00E95F45" w:rsidRDefault="00390D21" w:rsidP="0046463C">
      <w:pPr>
        <w:tabs>
          <w:tab w:val="left" w:pos="567"/>
          <w:tab w:val="left" w:pos="1134"/>
        </w:tabs>
        <w:spacing w:after="0"/>
        <w:rPr>
          <w:rFonts w:cs="Arial"/>
          <w:highlight w:val="yellow"/>
        </w:rPr>
      </w:pPr>
    </w:p>
    <w:p w:rsidR="0046463C" w:rsidRPr="00E95F45" w:rsidRDefault="00390D21" w:rsidP="0046463C">
      <w:pPr>
        <w:tabs>
          <w:tab w:val="left" w:pos="567"/>
          <w:tab w:val="left" w:pos="1134"/>
        </w:tabs>
        <w:spacing w:after="0"/>
        <w:rPr>
          <w:rFonts w:cs="Arial"/>
          <w:highlight w:val="yellow"/>
        </w:rPr>
      </w:pPr>
    </w:p>
    <w:p w:rsidR="0046463C" w:rsidRPr="00E95F45" w:rsidRDefault="00390D21" w:rsidP="0046463C">
      <w:pPr>
        <w:tabs>
          <w:tab w:val="left" w:pos="567"/>
          <w:tab w:val="left" w:pos="1134"/>
        </w:tabs>
        <w:spacing w:after="0"/>
        <w:rPr>
          <w:rFonts w:cs="Arial"/>
          <w:highlight w:val="yellow"/>
        </w:rPr>
      </w:pPr>
    </w:p>
    <w:p w:rsidR="0046463C" w:rsidRPr="00E95F45" w:rsidRDefault="00390D21" w:rsidP="0046463C">
      <w:pPr>
        <w:tabs>
          <w:tab w:val="left" w:pos="567"/>
          <w:tab w:val="left" w:pos="1134"/>
        </w:tabs>
        <w:spacing w:after="0"/>
        <w:rPr>
          <w:rFonts w:cs="Arial"/>
          <w:highlight w:val="yellow"/>
        </w:rPr>
      </w:pPr>
    </w:p>
    <w:p w:rsidR="0046463C" w:rsidRPr="00E95F45" w:rsidRDefault="00390D21" w:rsidP="0046463C">
      <w:pPr>
        <w:tabs>
          <w:tab w:val="left" w:pos="567"/>
          <w:tab w:val="left" w:pos="1134"/>
        </w:tabs>
        <w:spacing w:after="0"/>
        <w:rPr>
          <w:rFonts w:cs="Arial"/>
          <w:highlight w:val="yellow"/>
        </w:rPr>
      </w:pPr>
    </w:p>
    <w:p w:rsidR="0046463C" w:rsidRPr="00E95F45" w:rsidRDefault="00390D21" w:rsidP="0046463C">
      <w:pPr>
        <w:tabs>
          <w:tab w:val="left" w:pos="567"/>
          <w:tab w:val="left" w:pos="1134"/>
        </w:tabs>
        <w:spacing w:after="0"/>
        <w:rPr>
          <w:rFonts w:cs="Arial"/>
          <w:highlight w:val="yellow"/>
        </w:rPr>
      </w:pPr>
    </w:p>
    <w:p w:rsidR="0046463C" w:rsidRPr="00E95F45" w:rsidRDefault="00390D21" w:rsidP="0046463C">
      <w:pPr>
        <w:tabs>
          <w:tab w:val="left" w:pos="567"/>
          <w:tab w:val="left" w:pos="1134"/>
        </w:tabs>
        <w:spacing w:after="0"/>
        <w:rPr>
          <w:rFonts w:cs="Arial"/>
          <w:highlight w:val="yellow"/>
        </w:rPr>
      </w:pPr>
    </w:p>
    <w:p w:rsidR="0046463C" w:rsidRDefault="00390D21" w:rsidP="0046463C">
      <w:pPr>
        <w:tabs>
          <w:tab w:val="left" w:pos="567"/>
          <w:tab w:val="left" w:pos="1134"/>
        </w:tabs>
        <w:spacing w:after="0"/>
        <w:rPr>
          <w:rFonts w:cs="Arial"/>
          <w:highlight w:val="yellow"/>
        </w:rPr>
      </w:pPr>
    </w:p>
    <w:p w:rsidR="0046463C" w:rsidRDefault="00390D21" w:rsidP="0046463C">
      <w:pPr>
        <w:tabs>
          <w:tab w:val="left" w:pos="567"/>
          <w:tab w:val="left" w:pos="1134"/>
        </w:tabs>
        <w:spacing w:after="0"/>
        <w:rPr>
          <w:rFonts w:cs="Arial"/>
          <w:highlight w:val="yellow"/>
        </w:rPr>
      </w:pPr>
    </w:p>
    <w:p w:rsidR="005F28BA" w:rsidRDefault="00390D21" w:rsidP="0046463C">
      <w:pPr>
        <w:tabs>
          <w:tab w:val="left" w:pos="567"/>
          <w:tab w:val="left" w:pos="1134"/>
        </w:tabs>
        <w:spacing w:after="0"/>
        <w:rPr>
          <w:rFonts w:cs="Arial"/>
          <w:highlight w:val="yellow"/>
        </w:rPr>
      </w:pPr>
    </w:p>
    <w:p w:rsidR="005F28BA" w:rsidRDefault="00390D21" w:rsidP="0046463C">
      <w:pPr>
        <w:tabs>
          <w:tab w:val="left" w:pos="567"/>
          <w:tab w:val="left" w:pos="1134"/>
        </w:tabs>
        <w:spacing w:after="0"/>
        <w:rPr>
          <w:rFonts w:cs="Arial"/>
          <w:highlight w:val="yellow"/>
        </w:rPr>
      </w:pPr>
    </w:p>
    <w:p w:rsidR="005F28BA" w:rsidRDefault="00390D21" w:rsidP="0046463C">
      <w:pPr>
        <w:tabs>
          <w:tab w:val="left" w:pos="567"/>
          <w:tab w:val="left" w:pos="1134"/>
        </w:tabs>
        <w:spacing w:after="0"/>
        <w:rPr>
          <w:rFonts w:cs="Arial"/>
          <w:highlight w:val="yellow"/>
        </w:rPr>
      </w:pPr>
    </w:p>
    <w:p w:rsidR="005F28BA" w:rsidRDefault="00390D21" w:rsidP="0046463C">
      <w:pPr>
        <w:tabs>
          <w:tab w:val="left" w:pos="567"/>
          <w:tab w:val="left" w:pos="1134"/>
        </w:tabs>
        <w:spacing w:after="0"/>
        <w:rPr>
          <w:rFonts w:cs="Arial"/>
          <w:highlight w:val="yellow"/>
        </w:rPr>
      </w:pPr>
    </w:p>
    <w:p w:rsidR="005F28BA" w:rsidRDefault="00390D21" w:rsidP="0046463C">
      <w:pPr>
        <w:tabs>
          <w:tab w:val="left" w:pos="567"/>
          <w:tab w:val="left" w:pos="1134"/>
        </w:tabs>
        <w:spacing w:after="0"/>
        <w:rPr>
          <w:rFonts w:cs="Arial"/>
          <w:highlight w:val="yellow"/>
        </w:rPr>
      </w:pPr>
    </w:p>
    <w:p w:rsidR="005F28BA" w:rsidRDefault="00390D21" w:rsidP="0046463C">
      <w:pPr>
        <w:tabs>
          <w:tab w:val="left" w:pos="567"/>
          <w:tab w:val="left" w:pos="1134"/>
        </w:tabs>
        <w:spacing w:after="0"/>
        <w:rPr>
          <w:rFonts w:cs="Arial"/>
          <w:highlight w:val="yellow"/>
        </w:rPr>
      </w:pPr>
    </w:p>
    <w:p w:rsidR="005F28BA" w:rsidRDefault="00390D21" w:rsidP="0046463C">
      <w:pPr>
        <w:tabs>
          <w:tab w:val="left" w:pos="567"/>
          <w:tab w:val="left" w:pos="1134"/>
        </w:tabs>
        <w:spacing w:after="0"/>
        <w:rPr>
          <w:rFonts w:cs="Arial"/>
          <w:highlight w:val="yellow"/>
        </w:rPr>
      </w:pPr>
    </w:p>
    <w:p w:rsidR="005F28BA" w:rsidRDefault="00390D21" w:rsidP="0046463C">
      <w:pPr>
        <w:tabs>
          <w:tab w:val="left" w:pos="567"/>
          <w:tab w:val="left" w:pos="1134"/>
        </w:tabs>
        <w:spacing w:after="0"/>
        <w:rPr>
          <w:rFonts w:cs="Arial"/>
          <w:highlight w:val="yellow"/>
        </w:rPr>
      </w:pPr>
    </w:p>
    <w:p w:rsidR="0046463C" w:rsidRDefault="00390D21" w:rsidP="0046463C">
      <w:pPr>
        <w:tabs>
          <w:tab w:val="left" w:pos="567"/>
          <w:tab w:val="left" w:pos="1134"/>
        </w:tabs>
        <w:spacing w:after="0"/>
        <w:rPr>
          <w:rFonts w:cs="Arial"/>
          <w:highlight w:val="yellow"/>
        </w:rPr>
      </w:pPr>
    </w:p>
    <w:p w:rsidR="0046463C" w:rsidRDefault="00390D21" w:rsidP="0046463C">
      <w:pPr>
        <w:tabs>
          <w:tab w:val="left" w:pos="567"/>
          <w:tab w:val="left" w:pos="1134"/>
        </w:tabs>
        <w:spacing w:after="0"/>
        <w:rPr>
          <w:rFonts w:cs="Arial"/>
          <w:highlight w:val="yellow"/>
        </w:rPr>
      </w:pPr>
    </w:p>
    <w:p w:rsidR="0046463C" w:rsidRDefault="00390D21" w:rsidP="0046463C">
      <w:pPr>
        <w:tabs>
          <w:tab w:val="left" w:pos="567"/>
          <w:tab w:val="left" w:pos="1134"/>
        </w:tabs>
        <w:spacing w:after="0"/>
        <w:rPr>
          <w:rFonts w:cs="Arial"/>
          <w:highlight w:val="yellow"/>
        </w:rPr>
      </w:pPr>
    </w:p>
    <w:p w:rsidR="0046463C" w:rsidRDefault="00390D21" w:rsidP="0046463C">
      <w:pPr>
        <w:tabs>
          <w:tab w:val="left" w:pos="567"/>
          <w:tab w:val="left" w:pos="1134"/>
        </w:tabs>
        <w:spacing w:after="0"/>
        <w:rPr>
          <w:rFonts w:cs="Arial"/>
          <w:highlight w:val="yellow"/>
        </w:rPr>
      </w:pPr>
    </w:p>
    <w:p w:rsidR="0046463C" w:rsidRPr="00D36C8A" w:rsidRDefault="00390D21" w:rsidP="0046463C">
      <w:pPr>
        <w:tabs>
          <w:tab w:val="left" w:pos="567"/>
          <w:tab w:val="left" w:pos="1134"/>
        </w:tabs>
        <w:spacing w:after="0"/>
        <w:rPr>
          <w:rFonts w:cs="Arial"/>
          <w:b/>
        </w:rPr>
      </w:pPr>
      <w:r w:rsidRPr="00D36C8A">
        <w:rPr>
          <w:rFonts w:cs="Arial"/>
          <w:b/>
        </w:rPr>
        <w:lastRenderedPageBreak/>
        <w:t>4. Reserves</w:t>
      </w:r>
    </w:p>
    <w:p w:rsidR="0046463C" w:rsidRPr="00D36C8A" w:rsidRDefault="00390D21" w:rsidP="0046463C">
      <w:pPr>
        <w:tabs>
          <w:tab w:val="left" w:pos="567"/>
          <w:tab w:val="left" w:pos="1134"/>
        </w:tabs>
        <w:spacing w:after="0"/>
        <w:rPr>
          <w:rFonts w:cs="Arial"/>
          <w:b/>
        </w:rPr>
      </w:pPr>
    </w:p>
    <w:p w:rsidR="0046463C" w:rsidRDefault="00390D21" w:rsidP="0046463C">
      <w:pPr>
        <w:tabs>
          <w:tab w:val="left" w:pos="567"/>
          <w:tab w:val="left" w:pos="1134"/>
        </w:tabs>
        <w:spacing w:after="0"/>
        <w:rPr>
          <w:rFonts w:cs="Arial"/>
          <w:b/>
          <w:i/>
          <w:u w:val="single"/>
        </w:rPr>
      </w:pPr>
      <w:r w:rsidRPr="00D36C8A">
        <w:rPr>
          <w:rFonts w:cs="Arial"/>
          <w:b/>
          <w:i/>
          <w:u w:val="single"/>
        </w:rPr>
        <w:t>Table 7</w:t>
      </w:r>
      <w:r>
        <w:rPr>
          <w:rFonts w:cs="Arial"/>
          <w:b/>
          <w:i/>
          <w:u w:val="single"/>
        </w:rPr>
        <w:t xml:space="preserve"> </w:t>
      </w:r>
    </w:p>
    <w:p w:rsidR="0046463C" w:rsidRPr="00D36C8A" w:rsidRDefault="00390D21" w:rsidP="0046463C">
      <w:pPr>
        <w:tabs>
          <w:tab w:val="left" w:pos="567"/>
          <w:tab w:val="left" w:pos="1134"/>
        </w:tabs>
        <w:spacing w:after="0"/>
        <w:rPr>
          <w:rFonts w:cs="Arial"/>
          <w:b/>
          <w:i/>
          <w:u w:val="single"/>
        </w:rPr>
      </w:pPr>
    </w:p>
    <w:tbl>
      <w:tblPr>
        <w:tblW w:w="9540" w:type="dxa"/>
        <w:tblLook w:val="04A0" w:firstRow="1" w:lastRow="0" w:firstColumn="1" w:lastColumn="0" w:noHBand="0" w:noVBand="1"/>
      </w:tblPr>
      <w:tblGrid>
        <w:gridCol w:w="2354"/>
        <w:gridCol w:w="1180"/>
        <w:gridCol w:w="1000"/>
        <w:gridCol w:w="1100"/>
        <w:gridCol w:w="1040"/>
        <w:gridCol w:w="883"/>
        <w:gridCol w:w="883"/>
        <w:gridCol w:w="1100"/>
      </w:tblGrid>
      <w:tr w:rsidR="00C3717D" w:rsidTr="0046463C">
        <w:trPr>
          <w:trHeight w:val="1800"/>
        </w:trPr>
        <w:tc>
          <w:tcPr>
            <w:tcW w:w="2360"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46463C" w:rsidRPr="00722857" w:rsidRDefault="00390D21" w:rsidP="0046463C">
            <w:pPr>
              <w:autoSpaceDE/>
              <w:autoSpaceDN/>
              <w:adjustRightInd/>
              <w:spacing w:after="0"/>
              <w:jc w:val="center"/>
              <w:rPr>
                <w:rFonts w:eastAsia="Times New Roman" w:cs="Arial"/>
                <w:b/>
                <w:bCs/>
                <w:sz w:val="18"/>
                <w:szCs w:val="18"/>
                <w:lang w:eastAsia="en-GB"/>
              </w:rPr>
            </w:pPr>
            <w:r w:rsidRPr="00722857">
              <w:rPr>
                <w:rFonts w:eastAsia="Times New Roman" w:cs="Arial"/>
                <w:b/>
                <w:bCs/>
                <w:sz w:val="18"/>
                <w:szCs w:val="18"/>
                <w:lang w:eastAsia="en-GB"/>
              </w:rPr>
              <w:t>Reserve Name</w:t>
            </w:r>
          </w:p>
        </w:tc>
        <w:tc>
          <w:tcPr>
            <w:tcW w:w="1180" w:type="dxa"/>
            <w:tcBorders>
              <w:top w:val="single" w:sz="8" w:space="0" w:color="auto"/>
              <w:left w:val="nil"/>
              <w:bottom w:val="single" w:sz="4" w:space="0" w:color="auto"/>
              <w:right w:val="single" w:sz="4" w:space="0" w:color="auto"/>
            </w:tcBorders>
            <w:shd w:val="clear" w:color="000000" w:fill="BFBFBF"/>
            <w:vAlign w:val="center"/>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Opening balance 2020/21</w:t>
            </w:r>
          </w:p>
        </w:tc>
        <w:tc>
          <w:tcPr>
            <w:tcW w:w="1000" w:type="dxa"/>
            <w:tcBorders>
              <w:top w:val="single" w:sz="8" w:space="0" w:color="auto"/>
              <w:left w:val="nil"/>
              <w:bottom w:val="single" w:sz="4" w:space="0" w:color="auto"/>
              <w:right w:val="single" w:sz="4" w:space="0" w:color="auto"/>
            </w:tcBorders>
            <w:shd w:val="clear" w:color="000000" w:fill="BFBFBF"/>
            <w:vAlign w:val="center"/>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 xml:space="preserve"> 2020/21 Forecast Exp</w:t>
            </w:r>
          </w:p>
        </w:tc>
        <w:tc>
          <w:tcPr>
            <w:tcW w:w="1100" w:type="dxa"/>
            <w:tcBorders>
              <w:top w:val="single" w:sz="8" w:space="0" w:color="auto"/>
              <w:left w:val="nil"/>
              <w:bottom w:val="single" w:sz="4" w:space="0" w:color="auto"/>
              <w:right w:val="single" w:sz="4" w:space="0" w:color="auto"/>
            </w:tcBorders>
            <w:shd w:val="clear" w:color="000000" w:fill="BFBFBF"/>
            <w:vAlign w:val="center"/>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2020/21 Forecast transfers to/from other reserves</w:t>
            </w:r>
          </w:p>
        </w:tc>
        <w:tc>
          <w:tcPr>
            <w:tcW w:w="1040" w:type="dxa"/>
            <w:tcBorders>
              <w:top w:val="single" w:sz="8" w:space="0" w:color="auto"/>
              <w:left w:val="nil"/>
              <w:bottom w:val="single" w:sz="4" w:space="0" w:color="auto"/>
              <w:right w:val="single" w:sz="4" w:space="0" w:color="auto"/>
            </w:tcBorders>
            <w:shd w:val="clear" w:color="000000" w:fill="BFBFBF"/>
            <w:vAlign w:val="center"/>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2020/21 Forecast</w:t>
            </w:r>
            <w:r w:rsidRPr="00722857">
              <w:rPr>
                <w:rFonts w:eastAsia="Times New Roman" w:cs="Arial"/>
                <w:b/>
                <w:bCs/>
                <w:sz w:val="16"/>
                <w:szCs w:val="16"/>
                <w:lang w:eastAsia="en-GB"/>
              </w:rPr>
              <w:t xml:space="preserve"> Closing Balance</w:t>
            </w:r>
          </w:p>
        </w:tc>
        <w:tc>
          <w:tcPr>
            <w:tcW w:w="880" w:type="dxa"/>
            <w:tcBorders>
              <w:top w:val="single" w:sz="8" w:space="0" w:color="auto"/>
              <w:left w:val="nil"/>
              <w:bottom w:val="single" w:sz="4" w:space="0" w:color="auto"/>
              <w:right w:val="single" w:sz="4" w:space="0" w:color="auto"/>
            </w:tcBorders>
            <w:shd w:val="clear" w:color="000000" w:fill="BFBFBF"/>
            <w:vAlign w:val="center"/>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2021-22 Forecast Exp</w:t>
            </w:r>
          </w:p>
        </w:tc>
        <w:tc>
          <w:tcPr>
            <w:tcW w:w="880" w:type="dxa"/>
            <w:tcBorders>
              <w:top w:val="single" w:sz="8" w:space="0" w:color="auto"/>
              <w:left w:val="nil"/>
              <w:bottom w:val="single" w:sz="4" w:space="0" w:color="auto"/>
              <w:right w:val="single" w:sz="4" w:space="0" w:color="auto"/>
            </w:tcBorders>
            <w:shd w:val="clear" w:color="000000" w:fill="BFBFBF"/>
            <w:vAlign w:val="center"/>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2022-23 Forecast Exp</w:t>
            </w:r>
          </w:p>
        </w:tc>
        <w:tc>
          <w:tcPr>
            <w:tcW w:w="1100" w:type="dxa"/>
            <w:tcBorders>
              <w:top w:val="single" w:sz="8" w:space="0" w:color="auto"/>
              <w:left w:val="nil"/>
              <w:bottom w:val="single" w:sz="4" w:space="0" w:color="auto"/>
              <w:right w:val="single" w:sz="8" w:space="0" w:color="auto"/>
            </w:tcBorders>
            <w:shd w:val="clear" w:color="000000" w:fill="BFBFBF"/>
            <w:vAlign w:val="center"/>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Forecast closing balance 31 March 2023</w:t>
            </w:r>
          </w:p>
        </w:tc>
      </w:tr>
      <w:tr w:rsidR="00C3717D" w:rsidTr="0046463C">
        <w:trPr>
          <w:trHeight w:val="255"/>
        </w:trPr>
        <w:tc>
          <w:tcPr>
            <w:tcW w:w="2360" w:type="dxa"/>
            <w:tcBorders>
              <w:top w:val="nil"/>
              <w:left w:val="single" w:sz="8" w:space="0" w:color="auto"/>
              <w:bottom w:val="single" w:sz="4" w:space="0" w:color="auto"/>
              <w:right w:val="single" w:sz="4" w:space="0" w:color="auto"/>
            </w:tcBorders>
            <w:shd w:val="clear" w:color="000000" w:fill="BFBFBF"/>
            <w:vAlign w:val="bottom"/>
            <w:hideMark/>
          </w:tcPr>
          <w:p w:rsidR="0046463C" w:rsidRPr="00722857" w:rsidRDefault="00390D21" w:rsidP="0046463C">
            <w:pPr>
              <w:autoSpaceDE/>
              <w:autoSpaceDN/>
              <w:adjustRightInd/>
              <w:spacing w:after="0"/>
              <w:jc w:val="left"/>
              <w:rPr>
                <w:rFonts w:eastAsia="Times New Roman" w:cs="Arial"/>
                <w:sz w:val="16"/>
                <w:szCs w:val="16"/>
                <w:lang w:eastAsia="en-GB"/>
              </w:rPr>
            </w:pPr>
            <w:r w:rsidRPr="00722857">
              <w:rPr>
                <w:rFonts w:eastAsia="Times New Roman" w:cs="Arial"/>
                <w:sz w:val="16"/>
                <w:szCs w:val="16"/>
                <w:lang w:eastAsia="en-GB"/>
              </w:rPr>
              <w:t> </w:t>
            </w:r>
          </w:p>
        </w:tc>
        <w:tc>
          <w:tcPr>
            <w:tcW w:w="1180" w:type="dxa"/>
            <w:tcBorders>
              <w:top w:val="nil"/>
              <w:left w:val="nil"/>
              <w:bottom w:val="single" w:sz="4" w:space="0" w:color="auto"/>
              <w:right w:val="single" w:sz="4" w:space="0" w:color="auto"/>
            </w:tcBorders>
            <w:shd w:val="clear" w:color="000000" w:fill="BFBFBF"/>
            <w:noWrap/>
            <w:vAlign w:val="bottom"/>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£m</w:t>
            </w:r>
          </w:p>
        </w:tc>
        <w:tc>
          <w:tcPr>
            <w:tcW w:w="1000" w:type="dxa"/>
            <w:tcBorders>
              <w:top w:val="nil"/>
              <w:left w:val="nil"/>
              <w:bottom w:val="single" w:sz="4" w:space="0" w:color="auto"/>
              <w:right w:val="single" w:sz="4"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£m</w:t>
            </w:r>
          </w:p>
        </w:tc>
        <w:tc>
          <w:tcPr>
            <w:tcW w:w="1100" w:type="dxa"/>
            <w:tcBorders>
              <w:top w:val="nil"/>
              <w:left w:val="nil"/>
              <w:bottom w:val="single" w:sz="4" w:space="0" w:color="auto"/>
              <w:right w:val="single" w:sz="4"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£m</w:t>
            </w:r>
          </w:p>
        </w:tc>
        <w:tc>
          <w:tcPr>
            <w:tcW w:w="1040" w:type="dxa"/>
            <w:tcBorders>
              <w:top w:val="nil"/>
              <w:left w:val="nil"/>
              <w:bottom w:val="single" w:sz="4" w:space="0" w:color="auto"/>
              <w:right w:val="single" w:sz="4" w:space="0" w:color="auto"/>
            </w:tcBorders>
            <w:shd w:val="clear" w:color="000000" w:fill="BFBFBF"/>
            <w:noWrap/>
            <w:vAlign w:val="bottom"/>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£m</w:t>
            </w:r>
          </w:p>
        </w:tc>
        <w:tc>
          <w:tcPr>
            <w:tcW w:w="880" w:type="dxa"/>
            <w:tcBorders>
              <w:top w:val="nil"/>
              <w:left w:val="nil"/>
              <w:bottom w:val="single" w:sz="4" w:space="0" w:color="auto"/>
              <w:right w:val="single" w:sz="4" w:space="0" w:color="auto"/>
            </w:tcBorders>
            <w:shd w:val="clear" w:color="000000" w:fill="BFBFBF"/>
            <w:noWrap/>
            <w:vAlign w:val="bottom"/>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£m</w:t>
            </w:r>
          </w:p>
        </w:tc>
        <w:tc>
          <w:tcPr>
            <w:tcW w:w="880" w:type="dxa"/>
            <w:tcBorders>
              <w:top w:val="nil"/>
              <w:left w:val="nil"/>
              <w:bottom w:val="single" w:sz="4" w:space="0" w:color="auto"/>
              <w:right w:val="single" w:sz="4" w:space="0" w:color="auto"/>
            </w:tcBorders>
            <w:shd w:val="clear" w:color="000000" w:fill="BFBFBF"/>
            <w:noWrap/>
            <w:vAlign w:val="bottom"/>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£m</w:t>
            </w:r>
          </w:p>
        </w:tc>
        <w:tc>
          <w:tcPr>
            <w:tcW w:w="1100" w:type="dxa"/>
            <w:tcBorders>
              <w:top w:val="nil"/>
              <w:left w:val="nil"/>
              <w:bottom w:val="single" w:sz="4" w:space="0" w:color="auto"/>
              <w:right w:val="single" w:sz="8" w:space="0" w:color="auto"/>
            </w:tcBorders>
            <w:shd w:val="clear" w:color="000000" w:fill="BFBFBF"/>
            <w:noWrap/>
            <w:vAlign w:val="bottom"/>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£m</w:t>
            </w:r>
          </w:p>
        </w:tc>
      </w:tr>
      <w:tr w:rsidR="00C3717D" w:rsidTr="0046463C">
        <w:trPr>
          <w:trHeight w:val="642"/>
        </w:trPr>
        <w:tc>
          <w:tcPr>
            <w:tcW w:w="2360" w:type="dxa"/>
            <w:tcBorders>
              <w:top w:val="nil"/>
              <w:left w:val="single" w:sz="8" w:space="0" w:color="auto"/>
              <w:bottom w:val="single" w:sz="4" w:space="0" w:color="auto"/>
              <w:right w:val="single" w:sz="4" w:space="0" w:color="auto"/>
            </w:tcBorders>
            <w:shd w:val="clear" w:color="auto" w:fill="auto"/>
            <w:vAlign w:val="center"/>
            <w:hideMark/>
          </w:tcPr>
          <w:p w:rsidR="0046463C" w:rsidRPr="00722857" w:rsidRDefault="00390D21" w:rsidP="0046463C">
            <w:pPr>
              <w:autoSpaceDE/>
              <w:autoSpaceDN/>
              <w:adjustRightInd/>
              <w:spacing w:after="0"/>
              <w:jc w:val="left"/>
              <w:rPr>
                <w:rFonts w:eastAsia="Times New Roman" w:cs="Arial"/>
                <w:sz w:val="16"/>
                <w:szCs w:val="16"/>
                <w:lang w:eastAsia="en-GB"/>
              </w:rPr>
            </w:pPr>
            <w:r w:rsidRPr="00722857">
              <w:rPr>
                <w:rFonts w:eastAsia="Times New Roman" w:cs="Arial"/>
                <w:sz w:val="16"/>
                <w:szCs w:val="16"/>
                <w:lang w:eastAsia="en-GB"/>
              </w:rPr>
              <w:t>County Fund</w:t>
            </w:r>
          </w:p>
        </w:tc>
        <w:tc>
          <w:tcPr>
            <w:tcW w:w="1180" w:type="dxa"/>
            <w:tcBorders>
              <w:top w:val="nil"/>
              <w:left w:val="nil"/>
              <w:bottom w:val="single" w:sz="4" w:space="0" w:color="auto"/>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-23.437</w:t>
            </w:r>
          </w:p>
        </w:tc>
        <w:tc>
          <w:tcPr>
            <w:tcW w:w="1000" w:type="dxa"/>
            <w:tcBorders>
              <w:top w:val="nil"/>
              <w:left w:val="nil"/>
              <w:bottom w:val="single" w:sz="4" w:space="0" w:color="auto"/>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0.000</w:t>
            </w:r>
          </w:p>
        </w:tc>
        <w:tc>
          <w:tcPr>
            <w:tcW w:w="1100" w:type="dxa"/>
            <w:tcBorders>
              <w:top w:val="nil"/>
              <w:left w:val="nil"/>
              <w:bottom w:val="single" w:sz="4" w:space="0" w:color="auto"/>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0.000</w:t>
            </w:r>
          </w:p>
        </w:tc>
        <w:tc>
          <w:tcPr>
            <w:tcW w:w="1040" w:type="dxa"/>
            <w:tcBorders>
              <w:top w:val="nil"/>
              <w:left w:val="nil"/>
              <w:bottom w:val="single" w:sz="4" w:space="0" w:color="auto"/>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-23.437</w:t>
            </w:r>
          </w:p>
        </w:tc>
        <w:tc>
          <w:tcPr>
            <w:tcW w:w="880" w:type="dxa"/>
            <w:tcBorders>
              <w:top w:val="nil"/>
              <w:left w:val="nil"/>
              <w:bottom w:val="single" w:sz="4" w:space="0" w:color="auto"/>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0.000</w:t>
            </w:r>
          </w:p>
        </w:tc>
        <w:tc>
          <w:tcPr>
            <w:tcW w:w="880" w:type="dxa"/>
            <w:tcBorders>
              <w:top w:val="nil"/>
              <w:left w:val="nil"/>
              <w:bottom w:val="single" w:sz="4" w:space="0" w:color="auto"/>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0.000</w:t>
            </w:r>
          </w:p>
        </w:tc>
        <w:tc>
          <w:tcPr>
            <w:tcW w:w="1100" w:type="dxa"/>
            <w:tcBorders>
              <w:top w:val="nil"/>
              <w:left w:val="nil"/>
              <w:bottom w:val="single" w:sz="4" w:space="0" w:color="auto"/>
              <w:right w:val="single" w:sz="8"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-23.437</w:t>
            </w:r>
          </w:p>
        </w:tc>
      </w:tr>
      <w:tr w:rsidR="00C3717D" w:rsidTr="0046463C">
        <w:trPr>
          <w:trHeight w:val="642"/>
        </w:trPr>
        <w:tc>
          <w:tcPr>
            <w:tcW w:w="2360" w:type="dxa"/>
            <w:tcBorders>
              <w:top w:val="nil"/>
              <w:left w:val="single" w:sz="8" w:space="0" w:color="auto"/>
              <w:bottom w:val="single" w:sz="8" w:space="0" w:color="auto"/>
              <w:right w:val="single" w:sz="4" w:space="0" w:color="auto"/>
            </w:tcBorders>
            <w:shd w:val="clear" w:color="000000" w:fill="BFBFBF"/>
            <w:vAlign w:val="center"/>
            <w:hideMark/>
          </w:tcPr>
          <w:p w:rsidR="0046463C" w:rsidRPr="00722857" w:rsidRDefault="00390D21" w:rsidP="0046463C">
            <w:pPr>
              <w:autoSpaceDE/>
              <w:autoSpaceDN/>
              <w:adjustRightInd/>
              <w:spacing w:after="0"/>
              <w:jc w:val="left"/>
              <w:rPr>
                <w:rFonts w:eastAsia="Times New Roman" w:cs="Arial"/>
                <w:b/>
                <w:bCs/>
                <w:sz w:val="16"/>
                <w:szCs w:val="16"/>
                <w:lang w:eastAsia="en-GB"/>
              </w:rPr>
            </w:pPr>
            <w:r w:rsidRPr="00722857">
              <w:rPr>
                <w:rFonts w:eastAsia="Times New Roman" w:cs="Arial"/>
                <w:b/>
                <w:bCs/>
                <w:sz w:val="16"/>
                <w:szCs w:val="16"/>
                <w:lang w:eastAsia="en-GB"/>
              </w:rPr>
              <w:t>SUB TOTAL - COUNTY FUND</w:t>
            </w:r>
          </w:p>
        </w:tc>
        <w:tc>
          <w:tcPr>
            <w:tcW w:w="1180" w:type="dxa"/>
            <w:tcBorders>
              <w:top w:val="nil"/>
              <w:left w:val="nil"/>
              <w:bottom w:val="single" w:sz="8" w:space="0" w:color="auto"/>
              <w:right w:val="single" w:sz="4"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-23.437</w:t>
            </w:r>
          </w:p>
        </w:tc>
        <w:tc>
          <w:tcPr>
            <w:tcW w:w="1000" w:type="dxa"/>
            <w:tcBorders>
              <w:top w:val="nil"/>
              <w:left w:val="nil"/>
              <w:bottom w:val="single" w:sz="8" w:space="0" w:color="auto"/>
              <w:right w:val="single" w:sz="4"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0.000</w:t>
            </w:r>
          </w:p>
        </w:tc>
        <w:tc>
          <w:tcPr>
            <w:tcW w:w="1100" w:type="dxa"/>
            <w:tcBorders>
              <w:top w:val="nil"/>
              <w:left w:val="nil"/>
              <w:bottom w:val="single" w:sz="8" w:space="0" w:color="auto"/>
              <w:right w:val="single" w:sz="4"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0.000</w:t>
            </w:r>
          </w:p>
        </w:tc>
        <w:tc>
          <w:tcPr>
            <w:tcW w:w="1040" w:type="dxa"/>
            <w:tcBorders>
              <w:top w:val="nil"/>
              <w:left w:val="nil"/>
              <w:bottom w:val="single" w:sz="8" w:space="0" w:color="auto"/>
              <w:right w:val="single" w:sz="4"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-23.437</w:t>
            </w:r>
          </w:p>
        </w:tc>
        <w:tc>
          <w:tcPr>
            <w:tcW w:w="880" w:type="dxa"/>
            <w:tcBorders>
              <w:top w:val="nil"/>
              <w:left w:val="nil"/>
              <w:bottom w:val="single" w:sz="8" w:space="0" w:color="auto"/>
              <w:right w:val="single" w:sz="4"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0.000</w:t>
            </w:r>
          </w:p>
        </w:tc>
        <w:tc>
          <w:tcPr>
            <w:tcW w:w="880" w:type="dxa"/>
            <w:tcBorders>
              <w:top w:val="nil"/>
              <w:left w:val="nil"/>
              <w:bottom w:val="single" w:sz="8" w:space="0" w:color="auto"/>
              <w:right w:val="single" w:sz="4"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0.000</w:t>
            </w:r>
          </w:p>
        </w:tc>
        <w:tc>
          <w:tcPr>
            <w:tcW w:w="1100" w:type="dxa"/>
            <w:tcBorders>
              <w:top w:val="nil"/>
              <w:left w:val="nil"/>
              <w:bottom w:val="single" w:sz="8" w:space="0" w:color="auto"/>
              <w:right w:val="single" w:sz="8"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-23.437</w:t>
            </w:r>
          </w:p>
        </w:tc>
      </w:tr>
      <w:tr w:rsidR="00C3717D" w:rsidTr="0046463C">
        <w:trPr>
          <w:trHeight w:val="642"/>
        </w:trPr>
        <w:tc>
          <w:tcPr>
            <w:tcW w:w="2360" w:type="dxa"/>
            <w:tcBorders>
              <w:top w:val="nil"/>
              <w:left w:val="single" w:sz="8" w:space="0" w:color="auto"/>
              <w:bottom w:val="single" w:sz="4" w:space="0" w:color="auto"/>
              <w:right w:val="single" w:sz="4" w:space="0" w:color="auto"/>
            </w:tcBorders>
            <w:shd w:val="clear" w:color="auto" w:fill="auto"/>
            <w:vAlign w:val="center"/>
            <w:hideMark/>
          </w:tcPr>
          <w:p w:rsidR="0046463C" w:rsidRPr="00722857" w:rsidRDefault="00390D21" w:rsidP="0046463C">
            <w:pPr>
              <w:autoSpaceDE/>
              <w:autoSpaceDN/>
              <w:adjustRightInd/>
              <w:spacing w:after="0"/>
              <w:jc w:val="left"/>
              <w:rPr>
                <w:rFonts w:eastAsia="Times New Roman" w:cs="Arial"/>
                <w:sz w:val="16"/>
                <w:szCs w:val="16"/>
                <w:lang w:eastAsia="en-GB"/>
              </w:rPr>
            </w:pPr>
            <w:r w:rsidRPr="00722857">
              <w:rPr>
                <w:rFonts w:eastAsia="Times New Roman" w:cs="Arial"/>
                <w:sz w:val="16"/>
                <w:szCs w:val="16"/>
                <w:lang w:eastAsia="en-GB"/>
              </w:rPr>
              <w:t>Strategic Investment Reserve</w:t>
            </w:r>
          </w:p>
        </w:tc>
        <w:tc>
          <w:tcPr>
            <w:tcW w:w="1180" w:type="dxa"/>
            <w:tcBorders>
              <w:top w:val="nil"/>
              <w:left w:val="nil"/>
              <w:bottom w:val="single" w:sz="4" w:space="0" w:color="auto"/>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-5.819</w:t>
            </w:r>
          </w:p>
        </w:tc>
        <w:tc>
          <w:tcPr>
            <w:tcW w:w="1000" w:type="dxa"/>
            <w:tcBorders>
              <w:top w:val="nil"/>
              <w:left w:val="nil"/>
              <w:bottom w:val="single" w:sz="4" w:space="0" w:color="auto"/>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-1.292</w:t>
            </w:r>
          </w:p>
        </w:tc>
        <w:tc>
          <w:tcPr>
            <w:tcW w:w="1100" w:type="dxa"/>
            <w:tcBorders>
              <w:top w:val="nil"/>
              <w:left w:val="nil"/>
              <w:bottom w:val="single" w:sz="4" w:space="0" w:color="auto"/>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Pr>
                <w:rFonts w:eastAsia="Times New Roman" w:cs="Arial"/>
                <w:sz w:val="16"/>
                <w:szCs w:val="16"/>
                <w:lang w:eastAsia="en-GB"/>
              </w:rPr>
              <w:t>1.979</w:t>
            </w:r>
          </w:p>
        </w:tc>
        <w:tc>
          <w:tcPr>
            <w:tcW w:w="1040" w:type="dxa"/>
            <w:tcBorders>
              <w:top w:val="single" w:sz="4" w:space="0" w:color="auto"/>
              <w:left w:val="nil"/>
              <w:bottom w:val="single" w:sz="4" w:space="0" w:color="auto"/>
              <w:right w:val="single" w:sz="4"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-5.132</w:t>
            </w:r>
          </w:p>
        </w:tc>
        <w:tc>
          <w:tcPr>
            <w:tcW w:w="880" w:type="dxa"/>
            <w:tcBorders>
              <w:top w:val="nil"/>
              <w:left w:val="nil"/>
              <w:bottom w:val="single" w:sz="4" w:space="0" w:color="auto"/>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3.319</w:t>
            </w:r>
          </w:p>
        </w:tc>
        <w:tc>
          <w:tcPr>
            <w:tcW w:w="880" w:type="dxa"/>
            <w:tcBorders>
              <w:top w:val="nil"/>
              <w:left w:val="nil"/>
              <w:bottom w:val="single" w:sz="4" w:space="0" w:color="auto"/>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0.812</w:t>
            </w:r>
          </w:p>
        </w:tc>
        <w:tc>
          <w:tcPr>
            <w:tcW w:w="1100" w:type="dxa"/>
            <w:tcBorders>
              <w:top w:val="nil"/>
              <w:left w:val="nil"/>
              <w:bottom w:val="single" w:sz="4" w:space="0" w:color="auto"/>
              <w:right w:val="single" w:sz="8"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-1.001</w:t>
            </w:r>
          </w:p>
        </w:tc>
      </w:tr>
      <w:tr w:rsidR="00C3717D" w:rsidTr="0046463C">
        <w:trPr>
          <w:trHeight w:val="642"/>
        </w:trPr>
        <w:tc>
          <w:tcPr>
            <w:tcW w:w="2360" w:type="dxa"/>
            <w:tcBorders>
              <w:top w:val="nil"/>
              <w:left w:val="single" w:sz="8" w:space="0" w:color="auto"/>
              <w:bottom w:val="single" w:sz="4" w:space="0" w:color="auto"/>
              <w:right w:val="single" w:sz="4" w:space="0" w:color="auto"/>
            </w:tcBorders>
            <w:shd w:val="clear" w:color="auto" w:fill="auto"/>
            <w:vAlign w:val="center"/>
            <w:hideMark/>
          </w:tcPr>
          <w:p w:rsidR="0046463C" w:rsidRPr="00722857" w:rsidRDefault="00390D21" w:rsidP="0046463C">
            <w:pPr>
              <w:autoSpaceDE/>
              <w:autoSpaceDN/>
              <w:adjustRightInd/>
              <w:spacing w:after="0"/>
              <w:jc w:val="left"/>
              <w:rPr>
                <w:rFonts w:eastAsia="Times New Roman" w:cs="Arial"/>
                <w:sz w:val="16"/>
                <w:szCs w:val="16"/>
                <w:lang w:eastAsia="en-GB"/>
              </w:rPr>
            </w:pPr>
            <w:r w:rsidRPr="00722857">
              <w:rPr>
                <w:rFonts w:eastAsia="Times New Roman" w:cs="Arial"/>
                <w:sz w:val="16"/>
                <w:szCs w:val="16"/>
                <w:lang w:eastAsia="en-GB"/>
              </w:rPr>
              <w:t>COVID-19 Reserve</w:t>
            </w:r>
          </w:p>
        </w:tc>
        <w:tc>
          <w:tcPr>
            <w:tcW w:w="1180" w:type="dxa"/>
            <w:tcBorders>
              <w:top w:val="nil"/>
              <w:left w:val="nil"/>
              <w:bottom w:val="single" w:sz="4" w:space="0" w:color="auto"/>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-33.961</w:t>
            </w:r>
          </w:p>
        </w:tc>
        <w:tc>
          <w:tcPr>
            <w:tcW w:w="1000" w:type="dxa"/>
            <w:tcBorders>
              <w:top w:val="nil"/>
              <w:left w:val="nil"/>
              <w:bottom w:val="single" w:sz="4" w:space="0" w:color="auto"/>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33.961</w:t>
            </w:r>
          </w:p>
        </w:tc>
        <w:tc>
          <w:tcPr>
            <w:tcW w:w="1100" w:type="dxa"/>
            <w:tcBorders>
              <w:top w:val="nil"/>
              <w:left w:val="nil"/>
              <w:bottom w:val="single" w:sz="4" w:space="0" w:color="auto"/>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0.000</w:t>
            </w:r>
          </w:p>
        </w:tc>
        <w:tc>
          <w:tcPr>
            <w:tcW w:w="1040" w:type="dxa"/>
            <w:tcBorders>
              <w:top w:val="nil"/>
              <w:left w:val="nil"/>
              <w:bottom w:val="single" w:sz="4" w:space="0" w:color="auto"/>
              <w:right w:val="single" w:sz="4"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0.000</w:t>
            </w:r>
          </w:p>
        </w:tc>
        <w:tc>
          <w:tcPr>
            <w:tcW w:w="880" w:type="dxa"/>
            <w:tcBorders>
              <w:top w:val="nil"/>
              <w:left w:val="nil"/>
              <w:bottom w:val="single" w:sz="4" w:space="0" w:color="auto"/>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0.000</w:t>
            </w:r>
          </w:p>
        </w:tc>
        <w:tc>
          <w:tcPr>
            <w:tcW w:w="880" w:type="dxa"/>
            <w:tcBorders>
              <w:top w:val="nil"/>
              <w:left w:val="nil"/>
              <w:bottom w:val="single" w:sz="4" w:space="0" w:color="auto"/>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0.000</w:t>
            </w:r>
          </w:p>
        </w:tc>
        <w:tc>
          <w:tcPr>
            <w:tcW w:w="1100" w:type="dxa"/>
            <w:tcBorders>
              <w:top w:val="nil"/>
              <w:left w:val="nil"/>
              <w:bottom w:val="single" w:sz="4" w:space="0" w:color="auto"/>
              <w:right w:val="single" w:sz="8"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0.000</w:t>
            </w:r>
          </w:p>
        </w:tc>
      </w:tr>
      <w:tr w:rsidR="00C3717D" w:rsidTr="0046463C">
        <w:trPr>
          <w:trHeight w:val="642"/>
        </w:trPr>
        <w:tc>
          <w:tcPr>
            <w:tcW w:w="2360" w:type="dxa"/>
            <w:tcBorders>
              <w:top w:val="nil"/>
              <w:left w:val="single" w:sz="8" w:space="0" w:color="auto"/>
              <w:bottom w:val="single" w:sz="4" w:space="0" w:color="auto"/>
              <w:right w:val="single" w:sz="4" w:space="0" w:color="auto"/>
            </w:tcBorders>
            <w:shd w:val="clear" w:color="auto" w:fill="auto"/>
            <w:vAlign w:val="center"/>
            <w:hideMark/>
          </w:tcPr>
          <w:p w:rsidR="0046463C" w:rsidRPr="00722857" w:rsidRDefault="00390D21" w:rsidP="0046463C">
            <w:pPr>
              <w:autoSpaceDE/>
              <w:autoSpaceDN/>
              <w:adjustRightInd/>
              <w:spacing w:after="0"/>
              <w:jc w:val="left"/>
              <w:rPr>
                <w:rFonts w:eastAsia="Times New Roman" w:cs="Arial"/>
                <w:sz w:val="16"/>
                <w:szCs w:val="16"/>
                <w:lang w:eastAsia="en-GB"/>
              </w:rPr>
            </w:pPr>
            <w:r w:rsidRPr="00722857">
              <w:rPr>
                <w:rFonts w:eastAsia="Times New Roman" w:cs="Arial"/>
                <w:sz w:val="16"/>
                <w:szCs w:val="16"/>
                <w:lang w:eastAsia="en-GB"/>
              </w:rPr>
              <w:t>Downsizing Reserve</w:t>
            </w:r>
          </w:p>
        </w:tc>
        <w:tc>
          <w:tcPr>
            <w:tcW w:w="1180" w:type="dxa"/>
            <w:tcBorders>
              <w:top w:val="nil"/>
              <w:left w:val="nil"/>
              <w:bottom w:val="single" w:sz="4" w:space="0" w:color="auto"/>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-5.642</w:t>
            </w:r>
          </w:p>
        </w:tc>
        <w:tc>
          <w:tcPr>
            <w:tcW w:w="1000" w:type="dxa"/>
            <w:tcBorders>
              <w:top w:val="nil"/>
              <w:left w:val="nil"/>
              <w:bottom w:val="single" w:sz="4" w:space="0" w:color="auto"/>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0.000</w:t>
            </w:r>
          </w:p>
        </w:tc>
        <w:tc>
          <w:tcPr>
            <w:tcW w:w="1100" w:type="dxa"/>
            <w:tcBorders>
              <w:top w:val="nil"/>
              <w:left w:val="nil"/>
              <w:bottom w:val="single" w:sz="4" w:space="0" w:color="auto"/>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0.000</w:t>
            </w:r>
          </w:p>
        </w:tc>
        <w:tc>
          <w:tcPr>
            <w:tcW w:w="1040" w:type="dxa"/>
            <w:tcBorders>
              <w:top w:val="nil"/>
              <w:left w:val="nil"/>
              <w:bottom w:val="single" w:sz="4" w:space="0" w:color="auto"/>
              <w:right w:val="single" w:sz="4"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-5.642</w:t>
            </w:r>
          </w:p>
        </w:tc>
        <w:tc>
          <w:tcPr>
            <w:tcW w:w="880" w:type="dxa"/>
            <w:tcBorders>
              <w:top w:val="nil"/>
              <w:left w:val="nil"/>
              <w:bottom w:val="single" w:sz="4" w:space="0" w:color="auto"/>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2.821</w:t>
            </w:r>
          </w:p>
        </w:tc>
        <w:tc>
          <w:tcPr>
            <w:tcW w:w="880" w:type="dxa"/>
            <w:tcBorders>
              <w:top w:val="nil"/>
              <w:left w:val="nil"/>
              <w:bottom w:val="single" w:sz="4" w:space="0" w:color="auto"/>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2.821</w:t>
            </w:r>
          </w:p>
        </w:tc>
        <w:tc>
          <w:tcPr>
            <w:tcW w:w="1100" w:type="dxa"/>
            <w:tcBorders>
              <w:top w:val="nil"/>
              <w:left w:val="nil"/>
              <w:bottom w:val="single" w:sz="4" w:space="0" w:color="auto"/>
              <w:right w:val="single" w:sz="8"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0.000</w:t>
            </w:r>
          </w:p>
        </w:tc>
      </w:tr>
      <w:tr w:rsidR="00C3717D" w:rsidTr="0046463C">
        <w:trPr>
          <w:trHeight w:val="642"/>
        </w:trPr>
        <w:tc>
          <w:tcPr>
            <w:tcW w:w="2360" w:type="dxa"/>
            <w:tcBorders>
              <w:top w:val="nil"/>
              <w:left w:val="single" w:sz="8" w:space="0" w:color="auto"/>
              <w:bottom w:val="single" w:sz="4" w:space="0" w:color="auto"/>
              <w:right w:val="single" w:sz="4" w:space="0" w:color="auto"/>
            </w:tcBorders>
            <w:shd w:val="clear" w:color="auto" w:fill="auto"/>
            <w:vAlign w:val="center"/>
            <w:hideMark/>
          </w:tcPr>
          <w:p w:rsidR="0046463C" w:rsidRPr="00722857" w:rsidRDefault="00390D21" w:rsidP="0046463C">
            <w:pPr>
              <w:autoSpaceDE/>
              <w:autoSpaceDN/>
              <w:adjustRightInd/>
              <w:spacing w:after="0"/>
              <w:jc w:val="left"/>
              <w:rPr>
                <w:rFonts w:eastAsia="Times New Roman" w:cs="Arial"/>
                <w:sz w:val="16"/>
                <w:szCs w:val="16"/>
                <w:lang w:eastAsia="en-GB"/>
              </w:rPr>
            </w:pPr>
            <w:r w:rsidRPr="00722857">
              <w:rPr>
                <w:rFonts w:eastAsia="Times New Roman" w:cs="Arial"/>
                <w:sz w:val="16"/>
                <w:szCs w:val="16"/>
                <w:lang w:eastAsia="en-GB"/>
              </w:rPr>
              <w:t xml:space="preserve">Risk Management Reserve </w:t>
            </w:r>
          </w:p>
        </w:tc>
        <w:tc>
          <w:tcPr>
            <w:tcW w:w="1180" w:type="dxa"/>
            <w:tcBorders>
              <w:top w:val="nil"/>
              <w:left w:val="nil"/>
              <w:bottom w:val="single" w:sz="4" w:space="0" w:color="auto"/>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-1.935</w:t>
            </w:r>
          </w:p>
        </w:tc>
        <w:tc>
          <w:tcPr>
            <w:tcW w:w="1000" w:type="dxa"/>
            <w:tcBorders>
              <w:top w:val="nil"/>
              <w:left w:val="nil"/>
              <w:bottom w:val="single" w:sz="4" w:space="0" w:color="auto"/>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0.000</w:t>
            </w:r>
          </w:p>
        </w:tc>
        <w:tc>
          <w:tcPr>
            <w:tcW w:w="1100" w:type="dxa"/>
            <w:tcBorders>
              <w:top w:val="nil"/>
              <w:left w:val="nil"/>
              <w:bottom w:val="single" w:sz="4" w:space="0" w:color="auto"/>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0.000</w:t>
            </w:r>
          </w:p>
        </w:tc>
        <w:tc>
          <w:tcPr>
            <w:tcW w:w="1040" w:type="dxa"/>
            <w:tcBorders>
              <w:top w:val="nil"/>
              <w:left w:val="nil"/>
              <w:bottom w:val="single" w:sz="4" w:space="0" w:color="auto"/>
              <w:right w:val="single" w:sz="4"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-1.935</w:t>
            </w:r>
          </w:p>
        </w:tc>
        <w:tc>
          <w:tcPr>
            <w:tcW w:w="880" w:type="dxa"/>
            <w:tcBorders>
              <w:top w:val="nil"/>
              <w:left w:val="nil"/>
              <w:bottom w:val="single" w:sz="4" w:space="0" w:color="auto"/>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0.876</w:t>
            </w:r>
          </w:p>
        </w:tc>
        <w:tc>
          <w:tcPr>
            <w:tcW w:w="880" w:type="dxa"/>
            <w:tcBorders>
              <w:top w:val="nil"/>
              <w:left w:val="nil"/>
              <w:bottom w:val="single" w:sz="4" w:space="0" w:color="auto"/>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1.059</w:t>
            </w:r>
          </w:p>
        </w:tc>
        <w:tc>
          <w:tcPr>
            <w:tcW w:w="1100" w:type="dxa"/>
            <w:tcBorders>
              <w:top w:val="nil"/>
              <w:left w:val="nil"/>
              <w:bottom w:val="single" w:sz="4" w:space="0" w:color="auto"/>
              <w:right w:val="single" w:sz="8"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0.000</w:t>
            </w:r>
          </w:p>
        </w:tc>
      </w:tr>
      <w:tr w:rsidR="00C3717D" w:rsidTr="0046463C">
        <w:trPr>
          <w:trHeight w:val="642"/>
        </w:trPr>
        <w:tc>
          <w:tcPr>
            <w:tcW w:w="2360" w:type="dxa"/>
            <w:tcBorders>
              <w:top w:val="nil"/>
              <w:left w:val="single" w:sz="8" w:space="0" w:color="auto"/>
              <w:bottom w:val="single" w:sz="4" w:space="0" w:color="auto"/>
              <w:right w:val="single" w:sz="4" w:space="0" w:color="auto"/>
            </w:tcBorders>
            <w:shd w:val="clear" w:color="auto" w:fill="auto"/>
            <w:vAlign w:val="center"/>
            <w:hideMark/>
          </w:tcPr>
          <w:p w:rsidR="0046463C" w:rsidRPr="00722857" w:rsidRDefault="00390D21" w:rsidP="0046463C">
            <w:pPr>
              <w:autoSpaceDE/>
              <w:autoSpaceDN/>
              <w:adjustRightInd/>
              <w:spacing w:after="0"/>
              <w:jc w:val="left"/>
              <w:rPr>
                <w:rFonts w:eastAsia="Times New Roman" w:cs="Arial"/>
                <w:sz w:val="16"/>
                <w:szCs w:val="16"/>
                <w:lang w:eastAsia="en-GB"/>
              </w:rPr>
            </w:pPr>
            <w:r w:rsidRPr="00722857">
              <w:rPr>
                <w:rFonts w:eastAsia="Times New Roman" w:cs="Arial"/>
                <w:sz w:val="16"/>
                <w:szCs w:val="16"/>
                <w:lang w:eastAsia="en-GB"/>
              </w:rPr>
              <w:t>Transitional Reserve</w:t>
            </w:r>
          </w:p>
        </w:tc>
        <w:tc>
          <w:tcPr>
            <w:tcW w:w="1180" w:type="dxa"/>
            <w:tcBorders>
              <w:top w:val="nil"/>
              <w:left w:val="nil"/>
              <w:bottom w:val="single" w:sz="4" w:space="0" w:color="auto"/>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-151.199</w:t>
            </w:r>
          </w:p>
        </w:tc>
        <w:tc>
          <w:tcPr>
            <w:tcW w:w="1000" w:type="dxa"/>
            <w:tcBorders>
              <w:top w:val="nil"/>
              <w:left w:val="nil"/>
              <w:bottom w:val="single" w:sz="4" w:space="0" w:color="auto"/>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-7.862</w:t>
            </w:r>
          </w:p>
        </w:tc>
        <w:tc>
          <w:tcPr>
            <w:tcW w:w="1100" w:type="dxa"/>
            <w:tcBorders>
              <w:top w:val="nil"/>
              <w:left w:val="nil"/>
              <w:bottom w:val="single" w:sz="4" w:space="0" w:color="auto"/>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-0.359</w:t>
            </w:r>
          </w:p>
        </w:tc>
        <w:tc>
          <w:tcPr>
            <w:tcW w:w="1040" w:type="dxa"/>
            <w:tcBorders>
              <w:top w:val="nil"/>
              <w:left w:val="nil"/>
              <w:bottom w:val="single" w:sz="4" w:space="0" w:color="auto"/>
              <w:right w:val="single" w:sz="4"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-159.420</w:t>
            </w:r>
          </w:p>
        </w:tc>
        <w:tc>
          <w:tcPr>
            <w:tcW w:w="880" w:type="dxa"/>
            <w:tcBorders>
              <w:top w:val="nil"/>
              <w:left w:val="nil"/>
              <w:bottom w:val="single" w:sz="4" w:space="0" w:color="auto"/>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0.494</w:t>
            </w:r>
          </w:p>
        </w:tc>
        <w:tc>
          <w:tcPr>
            <w:tcW w:w="880" w:type="dxa"/>
            <w:tcBorders>
              <w:top w:val="nil"/>
              <w:left w:val="nil"/>
              <w:bottom w:val="single" w:sz="4" w:space="0" w:color="auto"/>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0.199</w:t>
            </w:r>
          </w:p>
        </w:tc>
        <w:tc>
          <w:tcPr>
            <w:tcW w:w="1100" w:type="dxa"/>
            <w:tcBorders>
              <w:top w:val="nil"/>
              <w:left w:val="nil"/>
              <w:bottom w:val="single" w:sz="4" w:space="0" w:color="auto"/>
              <w:right w:val="single" w:sz="8"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-158.727</w:t>
            </w:r>
          </w:p>
        </w:tc>
      </w:tr>
      <w:tr w:rsidR="00C3717D" w:rsidTr="0046463C">
        <w:trPr>
          <w:trHeight w:val="642"/>
        </w:trPr>
        <w:tc>
          <w:tcPr>
            <w:tcW w:w="2360" w:type="dxa"/>
            <w:tcBorders>
              <w:top w:val="nil"/>
              <w:left w:val="single" w:sz="8" w:space="0" w:color="auto"/>
              <w:bottom w:val="single" w:sz="4" w:space="0" w:color="auto"/>
              <w:right w:val="single" w:sz="4" w:space="0" w:color="auto"/>
            </w:tcBorders>
            <w:shd w:val="clear" w:color="auto" w:fill="auto"/>
            <w:vAlign w:val="center"/>
            <w:hideMark/>
          </w:tcPr>
          <w:p w:rsidR="0046463C" w:rsidRPr="00722857" w:rsidRDefault="00390D21" w:rsidP="0046463C">
            <w:pPr>
              <w:autoSpaceDE/>
              <w:autoSpaceDN/>
              <w:adjustRightInd/>
              <w:spacing w:after="0"/>
              <w:jc w:val="left"/>
              <w:rPr>
                <w:rFonts w:eastAsia="Times New Roman" w:cs="Arial"/>
                <w:sz w:val="16"/>
                <w:szCs w:val="16"/>
                <w:lang w:eastAsia="en-GB"/>
              </w:rPr>
            </w:pPr>
            <w:r w:rsidRPr="00722857">
              <w:rPr>
                <w:rFonts w:eastAsia="Times New Roman" w:cs="Arial"/>
                <w:sz w:val="16"/>
                <w:szCs w:val="16"/>
                <w:lang w:eastAsia="en-GB"/>
              </w:rPr>
              <w:t xml:space="preserve">Service Reserves </w:t>
            </w:r>
          </w:p>
        </w:tc>
        <w:tc>
          <w:tcPr>
            <w:tcW w:w="1180" w:type="dxa"/>
            <w:tcBorders>
              <w:top w:val="nil"/>
              <w:left w:val="nil"/>
              <w:bottom w:val="single" w:sz="4" w:space="0" w:color="auto"/>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-18.201</w:t>
            </w:r>
          </w:p>
        </w:tc>
        <w:tc>
          <w:tcPr>
            <w:tcW w:w="1000" w:type="dxa"/>
            <w:tcBorders>
              <w:top w:val="nil"/>
              <w:left w:val="nil"/>
              <w:bottom w:val="single" w:sz="4" w:space="0" w:color="auto"/>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1.391</w:t>
            </w:r>
          </w:p>
        </w:tc>
        <w:tc>
          <w:tcPr>
            <w:tcW w:w="1100" w:type="dxa"/>
            <w:tcBorders>
              <w:top w:val="nil"/>
              <w:left w:val="nil"/>
              <w:bottom w:val="single" w:sz="4" w:space="0" w:color="auto"/>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-1.966</w:t>
            </w:r>
          </w:p>
        </w:tc>
        <w:tc>
          <w:tcPr>
            <w:tcW w:w="1040" w:type="dxa"/>
            <w:tcBorders>
              <w:top w:val="nil"/>
              <w:left w:val="nil"/>
              <w:bottom w:val="single" w:sz="4" w:space="0" w:color="auto"/>
              <w:right w:val="single" w:sz="4"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-18.776</w:t>
            </w:r>
          </w:p>
        </w:tc>
        <w:tc>
          <w:tcPr>
            <w:tcW w:w="880" w:type="dxa"/>
            <w:tcBorders>
              <w:top w:val="nil"/>
              <w:left w:val="nil"/>
              <w:bottom w:val="single" w:sz="4" w:space="0" w:color="auto"/>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17.042</w:t>
            </w:r>
          </w:p>
        </w:tc>
        <w:tc>
          <w:tcPr>
            <w:tcW w:w="880" w:type="dxa"/>
            <w:tcBorders>
              <w:top w:val="nil"/>
              <w:left w:val="nil"/>
              <w:bottom w:val="single" w:sz="4" w:space="0" w:color="auto"/>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0.459</w:t>
            </w:r>
          </w:p>
        </w:tc>
        <w:tc>
          <w:tcPr>
            <w:tcW w:w="1100" w:type="dxa"/>
            <w:tcBorders>
              <w:top w:val="nil"/>
              <w:left w:val="nil"/>
              <w:bottom w:val="single" w:sz="4" w:space="0" w:color="auto"/>
              <w:right w:val="single" w:sz="8"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-1.275</w:t>
            </w:r>
          </w:p>
        </w:tc>
      </w:tr>
      <w:tr w:rsidR="00C3717D" w:rsidTr="0046463C">
        <w:trPr>
          <w:trHeight w:val="642"/>
        </w:trPr>
        <w:tc>
          <w:tcPr>
            <w:tcW w:w="2360" w:type="dxa"/>
            <w:tcBorders>
              <w:top w:val="nil"/>
              <w:left w:val="single" w:sz="8" w:space="0" w:color="auto"/>
              <w:bottom w:val="nil"/>
              <w:right w:val="single" w:sz="4" w:space="0" w:color="auto"/>
            </w:tcBorders>
            <w:shd w:val="clear" w:color="auto" w:fill="auto"/>
            <w:vAlign w:val="center"/>
            <w:hideMark/>
          </w:tcPr>
          <w:p w:rsidR="0046463C" w:rsidRPr="00722857" w:rsidRDefault="00390D21" w:rsidP="0046463C">
            <w:pPr>
              <w:autoSpaceDE/>
              <w:autoSpaceDN/>
              <w:adjustRightInd/>
              <w:spacing w:after="0"/>
              <w:jc w:val="left"/>
              <w:rPr>
                <w:rFonts w:eastAsia="Times New Roman" w:cs="Arial"/>
                <w:sz w:val="16"/>
                <w:szCs w:val="16"/>
                <w:lang w:eastAsia="en-GB"/>
              </w:rPr>
            </w:pPr>
            <w:r w:rsidRPr="00722857">
              <w:rPr>
                <w:rFonts w:eastAsia="Times New Roman" w:cs="Arial"/>
                <w:sz w:val="16"/>
                <w:szCs w:val="16"/>
                <w:lang w:eastAsia="en-GB"/>
              </w:rPr>
              <w:t>Treasury Management Reserve</w:t>
            </w:r>
          </w:p>
        </w:tc>
        <w:tc>
          <w:tcPr>
            <w:tcW w:w="1180" w:type="dxa"/>
            <w:tcBorders>
              <w:top w:val="nil"/>
              <w:left w:val="nil"/>
              <w:bottom w:val="nil"/>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-11.597</w:t>
            </w:r>
          </w:p>
        </w:tc>
        <w:tc>
          <w:tcPr>
            <w:tcW w:w="1000" w:type="dxa"/>
            <w:tcBorders>
              <w:top w:val="nil"/>
              <w:left w:val="nil"/>
              <w:bottom w:val="nil"/>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-5.403</w:t>
            </w:r>
          </w:p>
        </w:tc>
        <w:tc>
          <w:tcPr>
            <w:tcW w:w="1100" w:type="dxa"/>
            <w:tcBorders>
              <w:top w:val="nil"/>
              <w:left w:val="nil"/>
              <w:bottom w:val="nil"/>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0.000</w:t>
            </w:r>
          </w:p>
        </w:tc>
        <w:tc>
          <w:tcPr>
            <w:tcW w:w="1040" w:type="dxa"/>
            <w:tcBorders>
              <w:top w:val="nil"/>
              <w:left w:val="nil"/>
              <w:bottom w:val="single" w:sz="4" w:space="0" w:color="auto"/>
              <w:right w:val="single" w:sz="4"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-17.000</w:t>
            </w:r>
          </w:p>
        </w:tc>
        <w:tc>
          <w:tcPr>
            <w:tcW w:w="880" w:type="dxa"/>
            <w:tcBorders>
              <w:top w:val="nil"/>
              <w:left w:val="nil"/>
              <w:bottom w:val="nil"/>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0.000</w:t>
            </w:r>
          </w:p>
        </w:tc>
        <w:tc>
          <w:tcPr>
            <w:tcW w:w="880" w:type="dxa"/>
            <w:tcBorders>
              <w:top w:val="nil"/>
              <w:left w:val="nil"/>
              <w:bottom w:val="nil"/>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0.000</w:t>
            </w:r>
          </w:p>
        </w:tc>
        <w:tc>
          <w:tcPr>
            <w:tcW w:w="1100" w:type="dxa"/>
            <w:tcBorders>
              <w:top w:val="nil"/>
              <w:left w:val="nil"/>
              <w:bottom w:val="single" w:sz="4" w:space="0" w:color="auto"/>
              <w:right w:val="single" w:sz="8"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-17.000</w:t>
            </w:r>
          </w:p>
        </w:tc>
      </w:tr>
      <w:tr w:rsidR="00C3717D" w:rsidTr="0046463C">
        <w:trPr>
          <w:trHeight w:val="642"/>
        </w:trPr>
        <w:tc>
          <w:tcPr>
            <w:tcW w:w="2360"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46463C" w:rsidRPr="00722857" w:rsidRDefault="00390D21" w:rsidP="0046463C">
            <w:pPr>
              <w:autoSpaceDE/>
              <w:autoSpaceDN/>
              <w:adjustRightInd/>
              <w:spacing w:after="0"/>
              <w:jc w:val="left"/>
              <w:rPr>
                <w:rFonts w:eastAsia="Times New Roman" w:cs="Arial"/>
                <w:b/>
                <w:bCs/>
                <w:sz w:val="16"/>
                <w:szCs w:val="16"/>
                <w:lang w:eastAsia="en-GB"/>
              </w:rPr>
            </w:pPr>
            <w:r w:rsidRPr="00722857">
              <w:rPr>
                <w:rFonts w:eastAsia="Times New Roman" w:cs="Arial"/>
                <w:b/>
                <w:bCs/>
                <w:sz w:val="16"/>
                <w:szCs w:val="16"/>
                <w:lang w:eastAsia="en-GB"/>
              </w:rPr>
              <w:t xml:space="preserve">SUB TOTAL - LCC </w:t>
            </w:r>
            <w:r w:rsidRPr="00722857">
              <w:rPr>
                <w:rFonts w:eastAsia="Times New Roman" w:cs="Arial"/>
                <w:b/>
                <w:bCs/>
                <w:sz w:val="16"/>
                <w:szCs w:val="16"/>
                <w:lang w:eastAsia="en-GB"/>
              </w:rPr>
              <w:t>RESERVES</w:t>
            </w:r>
          </w:p>
        </w:tc>
        <w:tc>
          <w:tcPr>
            <w:tcW w:w="1180" w:type="dxa"/>
            <w:tcBorders>
              <w:top w:val="single" w:sz="4" w:space="0" w:color="auto"/>
              <w:left w:val="nil"/>
              <w:bottom w:val="single" w:sz="8" w:space="0" w:color="auto"/>
              <w:right w:val="single" w:sz="4"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-228.354</w:t>
            </w:r>
          </w:p>
        </w:tc>
        <w:tc>
          <w:tcPr>
            <w:tcW w:w="1000" w:type="dxa"/>
            <w:tcBorders>
              <w:top w:val="single" w:sz="4" w:space="0" w:color="auto"/>
              <w:left w:val="nil"/>
              <w:bottom w:val="single" w:sz="8" w:space="0" w:color="auto"/>
              <w:right w:val="single" w:sz="4"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20.795</w:t>
            </w:r>
          </w:p>
        </w:tc>
        <w:tc>
          <w:tcPr>
            <w:tcW w:w="1100" w:type="dxa"/>
            <w:tcBorders>
              <w:top w:val="single" w:sz="4" w:space="0" w:color="auto"/>
              <w:left w:val="nil"/>
              <w:bottom w:val="single" w:sz="8" w:space="0" w:color="auto"/>
              <w:right w:val="single" w:sz="4" w:space="0" w:color="auto"/>
            </w:tcBorders>
            <w:shd w:val="clear" w:color="000000" w:fill="BFBFBF"/>
            <w:noWrap/>
            <w:vAlign w:val="center"/>
            <w:hideMark/>
          </w:tcPr>
          <w:p w:rsidR="0046463C" w:rsidRPr="00722857" w:rsidRDefault="00390D21" w:rsidP="00FE6E2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-0.3</w:t>
            </w:r>
            <w:r>
              <w:rPr>
                <w:rFonts w:eastAsia="Times New Roman" w:cs="Arial"/>
                <w:b/>
                <w:bCs/>
                <w:sz w:val="16"/>
                <w:szCs w:val="16"/>
                <w:lang w:eastAsia="en-GB"/>
              </w:rPr>
              <w:t>46</w:t>
            </w:r>
          </w:p>
        </w:tc>
        <w:tc>
          <w:tcPr>
            <w:tcW w:w="1040" w:type="dxa"/>
            <w:tcBorders>
              <w:top w:val="nil"/>
              <w:left w:val="nil"/>
              <w:bottom w:val="single" w:sz="8" w:space="0" w:color="auto"/>
              <w:right w:val="single" w:sz="4"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-207.905</w:t>
            </w:r>
          </w:p>
        </w:tc>
        <w:tc>
          <w:tcPr>
            <w:tcW w:w="880" w:type="dxa"/>
            <w:tcBorders>
              <w:top w:val="single" w:sz="4" w:space="0" w:color="auto"/>
              <w:left w:val="nil"/>
              <w:bottom w:val="single" w:sz="8" w:space="0" w:color="auto"/>
              <w:right w:val="single" w:sz="4"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24.552</w:t>
            </w:r>
          </w:p>
        </w:tc>
        <w:tc>
          <w:tcPr>
            <w:tcW w:w="880" w:type="dxa"/>
            <w:tcBorders>
              <w:top w:val="single" w:sz="4" w:space="0" w:color="auto"/>
              <w:left w:val="nil"/>
              <w:bottom w:val="single" w:sz="8" w:space="0" w:color="auto"/>
              <w:right w:val="single" w:sz="4"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5.350</w:t>
            </w:r>
          </w:p>
        </w:tc>
        <w:tc>
          <w:tcPr>
            <w:tcW w:w="1100" w:type="dxa"/>
            <w:tcBorders>
              <w:top w:val="nil"/>
              <w:left w:val="nil"/>
              <w:bottom w:val="single" w:sz="8" w:space="0" w:color="auto"/>
              <w:right w:val="single" w:sz="8"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-178.003</w:t>
            </w:r>
          </w:p>
        </w:tc>
      </w:tr>
      <w:tr w:rsidR="00C3717D" w:rsidTr="0046463C">
        <w:trPr>
          <w:trHeight w:val="642"/>
        </w:trPr>
        <w:tc>
          <w:tcPr>
            <w:tcW w:w="2360" w:type="dxa"/>
            <w:tcBorders>
              <w:top w:val="nil"/>
              <w:left w:val="single" w:sz="8" w:space="0" w:color="auto"/>
              <w:bottom w:val="single" w:sz="4" w:space="0" w:color="auto"/>
              <w:right w:val="single" w:sz="4" w:space="0" w:color="auto"/>
            </w:tcBorders>
            <w:shd w:val="clear" w:color="auto" w:fill="auto"/>
            <w:vAlign w:val="center"/>
            <w:hideMark/>
          </w:tcPr>
          <w:p w:rsidR="0046463C" w:rsidRPr="00722857" w:rsidRDefault="00390D21" w:rsidP="0046463C">
            <w:pPr>
              <w:autoSpaceDE/>
              <w:autoSpaceDN/>
              <w:adjustRightInd/>
              <w:spacing w:after="0"/>
              <w:jc w:val="left"/>
              <w:rPr>
                <w:rFonts w:eastAsia="Times New Roman" w:cs="Arial"/>
                <w:sz w:val="16"/>
                <w:szCs w:val="16"/>
                <w:lang w:eastAsia="en-GB"/>
              </w:rPr>
            </w:pPr>
            <w:r w:rsidRPr="00722857">
              <w:rPr>
                <w:rFonts w:eastAsia="Times New Roman" w:cs="Arial"/>
                <w:sz w:val="16"/>
                <w:szCs w:val="16"/>
                <w:lang w:eastAsia="en-GB"/>
              </w:rPr>
              <w:t>Non-LCC Service Reserves</w:t>
            </w:r>
          </w:p>
        </w:tc>
        <w:tc>
          <w:tcPr>
            <w:tcW w:w="1180" w:type="dxa"/>
            <w:tcBorders>
              <w:top w:val="nil"/>
              <w:left w:val="nil"/>
              <w:bottom w:val="nil"/>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-16.305</w:t>
            </w:r>
          </w:p>
        </w:tc>
        <w:tc>
          <w:tcPr>
            <w:tcW w:w="1000" w:type="dxa"/>
            <w:tcBorders>
              <w:top w:val="nil"/>
              <w:left w:val="nil"/>
              <w:bottom w:val="nil"/>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1.258</w:t>
            </w:r>
          </w:p>
        </w:tc>
        <w:tc>
          <w:tcPr>
            <w:tcW w:w="1100" w:type="dxa"/>
            <w:tcBorders>
              <w:top w:val="nil"/>
              <w:left w:val="nil"/>
              <w:bottom w:val="nil"/>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0.346</w:t>
            </w:r>
          </w:p>
        </w:tc>
        <w:tc>
          <w:tcPr>
            <w:tcW w:w="1040" w:type="dxa"/>
            <w:tcBorders>
              <w:top w:val="nil"/>
              <w:left w:val="nil"/>
              <w:bottom w:val="single" w:sz="4" w:space="0" w:color="auto"/>
              <w:right w:val="single" w:sz="4"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-14.701</w:t>
            </w:r>
          </w:p>
        </w:tc>
        <w:tc>
          <w:tcPr>
            <w:tcW w:w="880" w:type="dxa"/>
            <w:tcBorders>
              <w:top w:val="nil"/>
              <w:left w:val="nil"/>
              <w:bottom w:val="nil"/>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1.677</w:t>
            </w:r>
          </w:p>
        </w:tc>
        <w:tc>
          <w:tcPr>
            <w:tcW w:w="880" w:type="dxa"/>
            <w:tcBorders>
              <w:top w:val="nil"/>
              <w:left w:val="nil"/>
              <w:bottom w:val="nil"/>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0.257</w:t>
            </w:r>
          </w:p>
        </w:tc>
        <w:tc>
          <w:tcPr>
            <w:tcW w:w="1100" w:type="dxa"/>
            <w:tcBorders>
              <w:top w:val="nil"/>
              <w:left w:val="nil"/>
              <w:bottom w:val="single" w:sz="4" w:space="0" w:color="auto"/>
              <w:right w:val="single" w:sz="8"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-12.767</w:t>
            </w:r>
          </w:p>
        </w:tc>
      </w:tr>
      <w:tr w:rsidR="00C3717D" w:rsidTr="0046463C">
        <w:trPr>
          <w:trHeight w:val="432"/>
        </w:trPr>
        <w:tc>
          <w:tcPr>
            <w:tcW w:w="2360" w:type="dxa"/>
            <w:tcBorders>
              <w:top w:val="nil"/>
              <w:left w:val="single" w:sz="8" w:space="0" w:color="auto"/>
              <w:bottom w:val="single" w:sz="8" w:space="0" w:color="auto"/>
              <w:right w:val="single" w:sz="4" w:space="0" w:color="auto"/>
            </w:tcBorders>
            <w:shd w:val="clear" w:color="000000" w:fill="BFBFBF"/>
            <w:vAlign w:val="center"/>
            <w:hideMark/>
          </w:tcPr>
          <w:p w:rsidR="0046463C" w:rsidRPr="00722857" w:rsidRDefault="00390D21" w:rsidP="0046463C">
            <w:pPr>
              <w:autoSpaceDE/>
              <w:autoSpaceDN/>
              <w:adjustRightInd/>
              <w:spacing w:after="0"/>
              <w:jc w:val="left"/>
              <w:rPr>
                <w:rFonts w:eastAsia="Times New Roman" w:cs="Arial"/>
                <w:b/>
                <w:bCs/>
                <w:sz w:val="16"/>
                <w:szCs w:val="16"/>
                <w:lang w:eastAsia="en-GB"/>
              </w:rPr>
            </w:pPr>
            <w:r w:rsidRPr="00722857">
              <w:rPr>
                <w:rFonts w:eastAsia="Times New Roman" w:cs="Arial"/>
                <w:b/>
                <w:bCs/>
                <w:sz w:val="16"/>
                <w:szCs w:val="16"/>
                <w:lang w:eastAsia="en-GB"/>
              </w:rPr>
              <w:t>SUB TOTAL - NON LCC RESERVES</w:t>
            </w:r>
          </w:p>
        </w:tc>
        <w:tc>
          <w:tcPr>
            <w:tcW w:w="1180" w:type="dxa"/>
            <w:tcBorders>
              <w:top w:val="single" w:sz="4" w:space="0" w:color="auto"/>
              <w:left w:val="nil"/>
              <w:bottom w:val="single" w:sz="8" w:space="0" w:color="auto"/>
              <w:right w:val="single" w:sz="4"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-16.305</w:t>
            </w:r>
          </w:p>
        </w:tc>
        <w:tc>
          <w:tcPr>
            <w:tcW w:w="1000" w:type="dxa"/>
            <w:tcBorders>
              <w:top w:val="single" w:sz="4" w:space="0" w:color="auto"/>
              <w:left w:val="nil"/>
              <w:bottom w:val="single" w:sz="8" w:space="0" w:color="auto"/>
              <w:right w:val="single" w:sz="4"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1.258</w:t>
            </w:r>
          </w:p>
        </w:tc>
        <w:tc>
          <w:tcPr>
            <w:tcW w:w="1100" w:type="dxa"/>
            <w:tcBorders>
              <w:top w:val="single" w:sz="4" w:space="0" w:color="auto"/>
              <w:left w:val="nil"/>
              <w:bottom w:val="single" w:sz="8" w:space="0" w:color="auto"/>
              <w:right w:val="single" w:sz="4"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0.346</w:t>
            </w:r>
          </w:p>
        </w:tc>
        <w:tc>
          <w:tcPr>
            <w:tcW w:w="1040" w:type="dxa"/>
            <w:tcBorders>
              <w:top w:val="nil"/>
              <w:left w:val="nil"/>
              <w:bottom w:val="single" w:sz="8" w:space="0" w:color="auto"/>
              <w:right w:val="single" w:sz="4"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-14.701</w:t>
            </w:r>
          </w:p>
        </w:tc>
        <w:tc>
          <w:tcPr>
            <w:tcW w:w="880" w:type="dxa"/>
            <w:tcBorders>
              <w:top w:val="single" w:sz="4" w:space="0" w:color="auto"/>
              <w:left w:val="nil"/>
              <w:bottom w:val="single" w:sz="8" w:space="0" w:color="auto"/>
              <w:right w:val="single" w:sz="4"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1.677</w:t>
            </w:r>
          </w:p>
        </w:tc>
        <w:tc>
          <w:tcPr>
            <w:tcW w:w="880" w:type="dxa"/>
            <w:tcBorders>
              <w:top w:val="single" w:sz="4" w:space="0" w:color="auto"/>
              <w:left w:val="nil"/>
              <w:bottom w:val="single" w:sz="8" w:space="0" w:color="auto"/>
              <w:right w:val="single" w:sz="4"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0.257</w:t>
            </w:r>
          </w:p>
        </w:tc>
        <w:tc>
          <w:tcPr>
            <w:tcW w:w="1100" w:type="dxa"/>
            <w:tcBorders>
              <w:top w:val="nil"/>
              <w:left w:val="nil"/>
              <w:bottom w:val="single" w:sz="8" w:space="0" w:color="auto"/>
              <w:right w:val="single" w:sz="8"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-12.767</w:t>
            </w:r>
          </w:p>
        </w:tc>
      </w:tr>
      <w:tr w:rsidR="00C3717D" w:rsidTr="0046463C">
        <w:trPr>
          <w:trHeight w:val="300"/>
        </w:trPr>
        <w:tc>
          <w:tcPr>
            <w:tcW w:w="2360" w:type="dxa"/>
            <w:tcBorders>
              <w:top w:val="single" w:sz="4" w:space="0" w:color="auto"/>
              <w:left w:val="single" w:sz="8" w:space="0" w:color="auto"/>
              <w:bottom w:val="nil"/>
              <w:right w:val="single" w:sz="4" w:space="0" w:color="auto"/>
            </w:tcBorders>
            <w:shd w:val="clear" w:color="auto" w:fill="auto"/>
            <w:vAlign w:val="center"/>
            <w:hideMark/>
          </w:tcPr>
          <w:p w:rsidR="0046463C" w:rsidRPr="00722857" w:rsidRDefault="00390D21" w:rsidP="0046463C">
            <w:pPr>
              <w:autoSpaceDE/>
              <w:autoSpaceDN/>
              <w:adjustRightInd/>
              <w:spacing w:after="0"/>
              <w:jc w:val="left"/>
              <w:rPr>
                <w:rFonts w:eastAsia="Times New Roman" w:cs="Arial"/>
                <w:i/>
                <w:iCs/>
                <w:sz w:val="16"/>
                <w:szCs w:val="16"/>
                <w:lang w:eastAsia="en-GB"/>
              </w:rPr>
            </w:pPr>
            <w:r w:rsidRPr="00722857">
              <w:rPr>
                <w:rFonts w:eastAsia="Times New Roman" w:cs="Arial"/>
                <w:i/>
                <w:iCs/>
                <w:sz w:val="16"/>
                <w:szCs w:val="16"/>
                <w:lang w:eastAsia="en-GB"/>
              </w:rPr>
              <w:t> </w:t>
            </w:r>
          </w:p>
        </w:tc>
        <w:tc>
          <w:tcPr>
            <w:tcW w:w="1180" w:type="dxa"/>
            <w:tcBorders>
              <w:top w:val="single" w:sz="4" w:space="0" w:color="auto"/>
              <w:left w:val="nil"/>
              <w:bottom w:val="nil"/>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 </w:t>
            </w:r>
          </w:p>
        </w:tc>
        <w:tc>
          <w:tcPr>
            <w:tcW w:w="1000" w:type="dxa"/>
            <w:tcBorders>
              <w:top w:val="single" w:sz="4" w:space="0" w:color="auto"/>
              <w:left w:val="nil"/>
              <w:bottom w:val="nil"/>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 </w:t>
            </w:r>
          </w:p>
        </w:tc>
        <w:tc>
          <w:tcPr>
            <w:tcW w:w="1100" w:type="dxa"/>
            <w:tcBorders>
              <w:top w:val="single" w:sz="4" w:space="0" w:color="auto"/>
              <w:left w:val="nil"/>
              <w:bottom w:val="nil"/>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 </w:t>
            </w:r>
          </w:p>
        </w:tc>
        <w:tc>
          <w:tcPr>
            <w:tcW w:w="1040" w:type="dxa"/>
            <w:tcBorders>
              <w:top w:val="single" w:sz="4" w:space="0" w:color="auto"/>
              <w:left w:val="nil"/>
              <w:bottom w:val="nil"/>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sz w:val="16"/>
                <w:szCs w:val="16"/>
                <w:lang w:eastAsia="en-GB"/>
              </w:rPr>
            </w:pPr>
            <w:r w:rsidRPr="00722857">
              <w:rPr>
                <w:rFonts w:eastAsia="Times New Roman" w:cs="Arial"/>
                <w:sz w:val="16"/>
                <w:szCs w:val="16"/>
                <w:lang w:eastAsia="en-GB"/>
              </w:rPr>
              <w:t> </w:t>
            </w:r>
          </w:p>
        </w:tc>
        <w:tc>
          <w:tcPr>
            <w:tcW w:w="880" w:type="dxa"/>
            <w:tcBorders>
              <w:top w:val="single" w:sz="4" w:space="0" w:color="auto"/>
              <w:left w:val="nil"/>
              <w:bottom w:val="nil"/>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i/>
                <w:iCs/>
                <w:sz w:val="16"/>
                <w:szCs w:val="16"/>
                <w:lang w:eastAsia="en-GB"/>
              </w:rPr>
            </w:pPr>
            <w:r w:rsidRPr="00722857">
              <w:rPr>
                <w:rFonts w:eastAsia="Times New Roman" w:cs="Arial"/>
                <w:i/>
                <w:iCs/>
                <w:sz w:val="16"/>
                <w:szCs w:val="16"/>
                <w:lang w:eastAsia="en-GB"/>
              </w:rPr>
              <w:t> </w:t>
            </w:r>
          </w:p>
        </w:tc>
        <w:tc>
          <w:tcPr>
            <w:tcW w:w="880" w:type="dxa"/>
            <w:tcBorders>
              <w:top w:val="single" w:sz="4" w:space="0" w:color="auto"/>
              <w:left w:val="nil"/>
              <w:bottom w:val="nil"/>
              <w:right w:val="single" w:sz="4"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i/>
                <w:iCs/>
                <w:sz w:val="16"/>
                <w:szCs w:val="16"/>
                <w:lang w:eastAsia="en-GB"/>
              </w:rPr>
            </w:pPr>
            <w:r w:rsidRPr="00722857">
              <w:rPr>
                <w:rFonts w:eastAsia="Times New Roman" w:cs="Arial"/>
                <w:i/>
                <w:iCs/>
                <w:sz w:val="16"/>
                <w:szCs w:val="16"/>
                <w:lang w:eastAsia="en-GB"/>
              </w:rPr>
              <w:t> </w:t>
            </w:r>
          </w:p>
        </w:tc>
        <w:tc>
          <w:tcPr>
            <w:tcW w:w="1100" w:type="dxa"/>
            <w:tcBorders>
              <w:top w:val="nil"/>
              <w:left w:val="nil"/>
              <w:bottom w:val="nil"/>
              <w:right w:val="single" w:sz="8" w:space="0" w:color="auto"/>
            </w:tcBorders>
            <w:shd w:val="clear" w:color="auto" w:fill="auto"/>
            <w:noWrap/>
            <w:vAlign w:val="center"/>
            <w:hideMark/>
          </w:tcPr>
          <w:p w:rsidR="0046463C" w:rsidRPr="00722857" w:rsidRDefault="00390D21" w:rsidP="0046463C">
            <w:pPr>
              <w:autoSpaceDE/>
              <w:autoSpaceDN/>
              <w:adjustRightInd/>
              <w:spacing w:after="0"/>
              <w:jc w:val="center"/>
              <w:rPr>
                <w:rFonts w:eastAsia="Times New Roman" w:cs="Arial"/>
                <w:i/>
                <w:iCs/>
                <w:sz w:val="16"/>
                <w:szCs w:val="16"/>
                <w:lang w:eastAsia="en-GB"/>
              </w:rPr>
            </w:pPr>
            <w:r w:rsidRPr="00722857">
              <w:rPr>
                <w:rFonts w:eastAsia="Times New Roman" w:cs="Arial"/>
                <w:i/>
                <w:iCs/>
                <w:sz w:val="16"/>
                <w:szCs w:val="16"/>
                <w:lang w:eastAsia="en-GB"/>
              </w:rPr>
              <w:t> </w:t>
            </w:r>
          </w:p>
        </w:tc>
      </w:tr>
      <w:tr w:rsidR="00C3717D" w:rsidTr="0046463C">
        <w:trPr>
          <w:trHeight w:val="432"/>
        </w:trPr>
        <w:tc>
          <w:tcPr>
            <w:tcW w:w="2360" w:type="dxa"/>
            <w:tcBorders>
              <w:top w:val="single" w:sz="8" w:space="0" w:color="auto"/>
              <w:left w:val="single" w:sz="8" w:space="0" w:color="auto"/>
              <w:bottom w:val="single" w:sz="8" w:space="0" w:color="auto"/>
              <w:right w:val="single" w:sz="4" w:space="0" w:color="auto"/>
            </w:tcBorders>
            <w:shd w:val="clear" w:color="000000" w:fill="BFBFBF"/>
            <w:vAlign w:val="center"/>
            <w:hideMark/>
          </w:tcPr>
          <w:p w:rsidR="0046463C" w:rsidRPr="00722857" w:rsidRDefault="00390D21" w:rsidP="0046463C">
            <w:pPr>
              <w:autoSpaceDE/>
              <w:autoSpaceDN/>
              <w:adjustRightInd/>
              <w:spacing w:after="0"/>
              <w:jc w:val="left"/>
              <w:rPr>
                <w:rFonts w:eastAsia="Times New Roman" w:cs="Arial"/>
                <w:b/>
                <w:bCs/>
                <w:sz w:val="16"/>
                <w:szCs w:val="16"/>
                <w:lang w:eastAsia="en-GB"/>
              </w:rPr>
            </w:pPr>
            <w:r w:rsidRPr="00722857">
              <w:rPr>
                <w:rFonts w:eastAsia="Times New Roman" w:cs="Arial"/>
                <w:b/>
                <w:bCs/>
                <w:sz w:val="16"/>
                <w:szCs w:val="16"/>
                <w:lang w:eastAsia="en-GB"/>
              </w:rPr>
              <w:t>GRAND TOTAL</w:t>
            </w:r>
          </w:p>
        </w:tc>
        <w:tc>
          <w:tcPr>
            <w:tcW w:w="1180" w:type="dxa"/>
            <w:tcBorders>
              <w:top w:val="single" w:sz="8" w:space="0" w:color="auto"/>
              <w:left w:val="nil"/>
              <w:bottom w:val="single" w:sz="8" w:space="0" w:color="auto"/>
              <w:right w:val="single" w:sz="4"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-268.096</w:t>
            </w:r>
          </w:p>
        </w:tc>
        <w:tc>
          <w:tcPr>
            <w:tcW w:w="1000" w:type="dxa"/>
            <w:tcBorders>
              <w:top w:val="single" w:sz="8" w:space="0" w:color="auto"/>
              <w:left w:val="nil"/>
              <w:bottom w:val="single" w:sz="8" w:space="0" w:color="auto"/>
              <w:right w:val="single" w:sz="4"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22.053</w:t>
            </w:r>
          </w:p>
        </w:tc>
        <w:tc>
          <w:tcPr>
            <w:tcW w:w="1100" w:type="dxa"/>
            <w:tcBorders>
              <w:top w:val="single" w:sz="8" w:space="0" w:color="auto"/>
              <w:left w:val="nil"/>
              <w:bottom w:val="single" w:sz="8" w:space="0" w:color="auto"/>
              <w:right w:val="single" w:sz="4"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Pr>
                <w:rFonts w:eastAsia="Times New Roman" w:cs="Arial"/>
                <w:b/>
                <w:bCs/>
                <w:sz w:val="16"/>
                <w:szCs w:val="16"/>
                <w:lang w:eastAsia="en-GB"/>
              </w:rPr>
              <w:t>0.000</w:t>
            </w:r>
          </w:p>
        </w:tc>
        <w:tc>
          <w:tcPr>
            <w:tcW w:w="1040" w:type="dxa"/>
            <w:tcBorders>
              <w:top w:val="single" w:sz="8" w:space="0" w:color="auto"/>
              <w:left w:val="nil"/>
              <w:bottom w:val="single" w:sz="8" w:space="0" w:color="auto"/>
              <w:right w:val="single" w:sz="4"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-246.043</w:t>
            </w:r>
          </w:p>
        </w:tc>
        <w:tc>
          <w:tcPr>
            <w:tcW w:w="880" w:type="dxa"/>
            <w:tcBorders>
              <w:top w:val="single" w:sz="8" w:space="0" w:color="auto"/>
              <w:left w:val="nil"/>
              <w:bottom w:val="single" w:sz="8" w:space="0" w:color="auto"/>
              <w:right w:val="single" w:sz="4"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26.229</w:t>
            </w:r>
          </w:p>
        </w:tc>
        <w:tc>
          <w:tcPr>
            <w:tcW w:w="880" w:type="dxa"/>
            <w:tcBorders>
              <w:top w:val="single" w:sz="8" w:space="0" w:color="auto"/>
              <w:left w:val="nil"/>
              <w:bottom w:val="single" w:sz="8" w:space="0" w:color="auto"/>
              <w:right w:val="single" w:sz="4"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5.607</w:t>
            </w:r>
          </w:p>
        </w:tc>
        <w:tc>
          <w:tcPr>
            <w:tcW w:w="1100" w:type="dxa"/>
            <w:tcBorders>
              <w:top w:val="single" w:sz="8" w:space="0" w:color="auto"/>
              <w:left w:val="nil"/>
              <w:bottom w:val="single" w:sz="8" w:space="0" w:color="auto"/>
              <w:right w:val="single" w:sz="8" w:space="0" w:color="auto"/>
            </w:tcBorders>
            <w:shd w:val="clear" w:color="000000" w:fill="BFBFBF"/>
            <w:noWrap/>
            <w:vAlign w:val="center"/>
            <w:hideMark/>
          </w:tcPr>
          <w:p w:rsidR="0046463C" w:rsidRPr="00722857" w:rsidRDefault="00390D21" w:rsidP="0046463C">
            <w:pPr>
              <w:autoSpaceDE/>
              <w:autoSpaceDN/>
              <w:adjustRightInd/>
              <w:spacing w:after="0"/>
              <w:jc w:val="center"/>
              <w:rPr>
                <w:rFonts w:eastAsia="Times New Roman" w:cs="Arial"/>
                <w:b/>
                <w:bCs/>
                <w:sz w:val="16"/>
                <w:szCs w:val="16"/>
                <w:lang w:eastAsia="en-GB"/>
              </w:rPr>
            </w:pPr>
            <w:r w:rsidRPr="00722857">
              <w:rPr>
                <w:rFonts w:eastAsia="Times New Roman" w:cs="Arial"/>
                <w:b/>
                <w:bCs/>
                <w:sz w:val="16"/>
                <w:szCs w:val="16"/>
                <w:lang w:eastAsia="en-GB"/>
              </w:rPr>
              <w:t>-214.207</w:t>
            </w:r>
          </w:p>
        </w:tc>
      </w:tr>
    </w:tbl>
    <w:p w:rsidR="0046463C" w:rsidRPr="006709CF" w:rsidRDefault="00390D21" w:rsidP="0046463C">
      <w:pPr>
        <w:spacing w:after="0"/>
        <w:ind w:right="-24"/>
        <w:rPr>
          <w:rFonts w:cs="Arial"/>
        </w:rPr>
      </w:pPr>
      <w:r w:rsidRPr="006709CF">
        <w:rPr>
          <w:rFonts w:cs="Arial"/>
        </w:rPr>
        <w:br/>
      </w:r>
      <w:r w:rsidRPr="006709CF">
        <w:rPr>
          <w:rFonts w:cs="Arial"/>
        </w:rPr>
        <w:t xml:space="preserve">The County Fund shown at the top of Table 7 is the balance set aside to cover the authority against a serious emergency situation (e.g. widespread flooding); a critical and unexpected loss of income to the authority and for general cash flow purposes.  In </w:t>
      </w:r>
      <w:r w:rsidRPr="006709CF">
        <w:rPr>
          <w:rFonts w:cs="Arial"/>
        </w:rPr>
        <w:t xml:space="preserve">considering these various factors the county council is forecast to maintain its County Fund balance at £23.437m, equating to circa 3% of net budget. </w:t>
      </w:r>
    </w:p>
    <w:p w:rsidR="0046463C" w:rsidRPr="0049468E" w:rsidRDefault="00390D21" w:rsidP="0046463C">
      <w:pPr>
        <w:tabs>
          <w:tab w:val="left" w:pos="567"/>
          <w:tab w:val="left" w:pos="1134"/>
        </w:tabs>
        <w:spacing w:after="0"/>
        <w:rPr>
          <w:rFonts w:cs="Arial"/>
          <w:highlight w:val="yellow"/>
        </w:rPr>
      </w:pPr>
    </w:p>
    <w:p w:rsidR="0046463C" w:rsidRPr="006709CF" w:rsidRDefault="00390D21" w:rsidP="0046463C">
      <w:pPr>
        <w:tabs>
          <w:tab w:val="left" w:pos="567"/>
          <w:tab w:val="left" w:pos="1134"/>
        </w:tabs>
        <w:spacing w:after="0"/>
        <w:rPr>
          <w:rFonts w:cs="Arial"/>
        </w:rPr>
      </w:pPr>
      <w:r w:rsidRPr="006709CF">
        <w:rPr>
          <w:rFonts w:cs="Arial"/>
        </w:rPr>
        <w:t xml:space="preserve">The value of the uncommitted transitional reserve is </w:t>
      </w:r>
      <w:r>
        <w:rPr>
          <w:rFonts w:cs="Arial"/>
        </w:rPr>
        <w:t>currently forecast to be £159.42</w:t>
      </w:r>
      <w:r w:rsidRPr="006709CF">
        <w:rPr>
          <w:rFonts w:cs="Arial"/>
        </w:rPr>
        <w:t xml:space="preserve">0m by the end of March 2021. This represents an improved position of </w:t>
      </w:r>
      <w:r>
        <w:rPr>
          <w:rFonts w:cs="Arial"/>
        </w:rPr>
        <w:lastRenderedPageBreak/>
        <w:t>£8.179</w:t>
      </w:r>
      <w:r w:rsidRPr="006709CF">
        <w:rPr>
          <w:rFonts w:cs="Arial"/>
        </w:rPr>
        <w:t>m from the £151.241m that was previously reported to cabinet in November 2020.</w:t>
      </w:r>
      <w:r>
        <w:rPr>
          <w:rFonts w:cs="Arial"/>
        </w:rPr>
        <w:t xml:space="preserve"> This is mainly due to the inclusion of the forecast underspend for 2020/21 that will be a contribution</w:t>
      </w:r>
      <w:r>
        <w:rPr>
          <w:rFonts w:cs="Arial"/>
        </w:rPr>
        <w:t xml:space="preserve"> to the transitional reserve. </w:t>
      </w:r>
    </w:p>
    <w:p w:rsidR="0046463C" w:rsidRPr="0049468E" w:rsidRDefault="00390D21" w:rsidP="0046463C">
      <w:pPr>
        <w:tabs>
          <w:tab w:val="left" w:pos="567"/>
          <w:tab w:val="left" w:pos="1134"/>
        </w:tabs>
        <w:spacing w:after="0"/>
        <w:rPr>
          <w:rFonts w:cs="Arial"/>
          <w:highlight w:val="yellow"/>
        </w:rPr>
      </w:pPr>
    </w:p>
    <w:p w:rsidR="0046463C" w:rsidRPr="006709CF" w:rsidRDefault="00390D21" w:rsidP="0046463C">
      <w:pPr>
        <w:spacing w:after="0"/>
        <w:rPr>
          <w:rFonts w:cs="Arial"/>
        </w:rPr>
      </w:pPr>
      <w:r w:rsidRPr="006709CF">
        <w:rPr>
          <w:rFonts w:cs="Arial"/>
        </w:rPr>
        <w:t xml:space="preserve">The transitional reserve is forecast to be sufficient to meet the identified funding gaps for 2021/22 – 2023-24 as set out in table 8 below. </w:t>
      </w:r>
    </w:p>
    <w:p w:rsidR="0046463C" w:rsidRPr="0049468E" w:rsidRDefault="00390D21" w:rsidP="0046463C">
      <w:pPr>
        <w:spacing w:after="0"/>
        <w:rPr>
          <w:rFonts w:cs="Arial"/>
          <w:highlight w:val="yellow"/>
        </w:rPr>
      </w:pPr>
    </w:p>
    <w:p w:rsidR="0046463C" w:rsidRPr="006709CF" w:rsidRDefault="00390D21" w:rsidP="0046463C">
      <w:pPr>
        <w:tabs>
          <w:tab w:val="left" w:pos="567"/>
          <w:tab w:val="left" w:pos="1134"/>
        </w:tabs>
        <w:spacing w:after="0"/>
        <w:rPr>
          <w:rFonts w:cs="Arial"/>
          <w:b/>
          <w:i/>
          <w:u w:val="single"/>
        </w:rPr>
      </w:pPr>
      <w:r w:rsidRPr="006709CF">
        <w:rPr>
          <w:rFonts w:cs="Arial"/>
          <w:b/>
          <w:i/>
          <w:u w:val="single"/>
        </w:rPr>
        <w:t>Table 8</w:t>
      </w:r>
    </w:p>
    <w:p w:rsidR="0046463C" w:rsidRDefault="00390D21" w:rsidP="0046463C">
      <w:pPr>
        <w:tabs>
          <w:tab w:val="left" w:pos="567"/>
          <w:tab w:val="left" w:pos="1134"/>
        </w:tabs>
        <w:spacing w:after="0"/>
        <w:rPr>
          <w:rFonts w:cs="Arial"/>
          <w:b/>
          <w:i/>
          <w:highlight w:val="yellow"/>
          <w:u w:val="single"/>
        </w:rPr>
      </w:pPr>
    </w:p>
    <w:tbl>
      <w:tblPr>
        <w:tblW w:w="9062" w:type="dxa"/>
        <w:tblLook w:val="04A0" w:firstRow="1" w:lastRow="0" w:firstColumn="1" w:lastColumn="0" w:noHBand="0" w:noVBand="1"/>
      </w:tblPr>
      <w:tblGrid>
        <w:gridCol w:w="4952"/>
        <w:gridCol w:w="1370"/>
        <w:gridCol w:w="1370"/>
        <w:gridCol w:w="1370"/>
      </w:tblGrid>
      <w:tr w:rsidR="00C3717D" w:rsidTr="0046463C">
        <w:trPr>
          <w:trHeight w:val="330"/>
        </w:trPr>
        <w:tc>
          <w:tcPr>
            <w:tcW w:w="4952"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46463C" w:rsidRPr="00722857" w:rsidRDefault="00390D21" w:rsidP="0046463C">
            <w:pPr>
              <w:autoSpaceDE/>
              <w:autoSpaceDN/>
              <w:adjustRightInd/>
              <w:spacing w:after="0"/>
              <w:jc w:val="left"/>
              <w:rPr>
                <w:rFonts w:eastAsia="Times New Roman" w:cs="Arial"/>
                <w:b/>
                <w:bCs/>
                <w:lang w:eastAsia="en-GB"/>
              </w:rPr>
            </w:pPr>
            <w:r w:rsidRPr="00722857">
              <w:rPr>
                <w:rFonts w:eastAsia="Times New Roman" w:cs="Arial"/>
                <w:b/>
                <w:bCs/>
                <w:lang w:eastAsia="en-GB"/>
              </w:rPr>
              <w:t> </w:t>
            </w:r>
          </w:p>
        </w:tc>
        <w:tc>
          <w:tcPr>
            <w:tcW w:w="1370" w:type="dxa"/>
            <w:tcBorders>
              <w:top w:val="single" w:sz="8" w:space="0" w:color="auto"/>
              <w:left w:val="nil"/>
              <w:bottom w:val="single" w:sz="8" w:space="0" w:color="auto"/>
              <w:right w:val="single" w:sz="8" w:space="0" w:color="auto"/>
            </w:tcBorders>
            <w:shd w:val="clear" w:color="000000" w:fill="BFBFBF"/>
            <w:vAlign w:val="center"/>
            <w:hideMark/>
          </w:tcPr>
          <w:p w:rsidR="0046463C" w:rsidRPr="00722857" w:rsidRDefault="00390D21" w:rsidP="0046463C">
            <w:pPr>
              <w:autoSpaceDE/>
              <w:autoSpaceDN/>
              <w:adjustRightInd/>
              <w:spacing w:after="0"/>
              <w:jc w:val="right"/>
              <w:rPr>
                <w:rFonts w:eastAsia="Times New Roman" w:cs="Arial"/>
                <w:b/>
                <w:bCs/>
                <w:lang w:eastAsia="en-GB"/>
              </w:rPr>
            </w:pPr>
            <w:r w:rsidRPr="00722857">
              <w:rPr>
                <w:rFonts w:eastAsia="Times New Roman" w:cs="Arial"/>
                <w:b/>
                <w:bCs/>
                <w:lang w:eastAsia="en-GB"/>
              </w:rPr>
              <w:t>2021/22</w:t>
            </w:r>
          </w:p>
        </w:tc>
        <w:tc>
          <w:tcPr>
            <w:tcW w:w="1370" w:type="dxa"/>
            <w:tcBorders>
              <w:top w:val="single" w:sz="8" w:space="0" w:color="auto"/>
              <w:left w:val="nil"/>
              <w:bottom w:val="single" w:sz="8" w:space="0" w:color="auto"/>
              <w:right w:val="single" w:sz="8" w:space="0" w:color="auto"/>
            </w:tcBorders>
            <w:shd w:val="clear" w:color="000000" w:fill="BFBFBF"/>
            <w:vAlign w:val="center"/>
            <w:hideMark/>
          </w:tcPr>
          <w:p w:rsidR="0046463C" w:rsidRPr="00722857" w:rsidRDefault="00390D21" w:rsidP="0046463C">
            <w:pPr>
              <w:autoSpaceDE/>
              <w:autoSpaceDN/>
              <w:adjustRightInd/>
              <w:spacing w:after="0"/>
              <w:jc w:val="right"/>
              <w:rPr>
                <w:rFonts w:eastAsia="Times New Roman" w:cs="Arial"/>
                <w:b/>
                <w:bCs/>
                <w:lang w:eastAsia="en-GB"/>
              </w:rPr>
            </w:pPr>
            <w:r w:rsidRPr="00722857">
              <w:rPr>
                <w:rFonts w:eastAsia="Times New Roman" w:cs="Arial"/>
                <w:b/>
                <w:bCs/>
                <w:lang w:eastAsia="en-GB"/>
              </w:rPr>
              <w:t>2022/23</w:t>
            </w:r>
          </w:p>
        </w:tc>
        <w:tc>
          <w:tcPr>
            <w:tcW w:w="1370" w:type="dxa"/>
            <w:tcBorders>
              <w:top w:val="single" w:sz="8" w:space="0" w:color="auto"/>
              <w:left w:val="nil"/>
              <w:bottom w:val="single" w:sz="8" w:space="0" w:color="auto"/>
              <w:right w:val="single" w:sz="8" w:space="0" w:color="auto"/>
            </w:tcBorders>
            <w:shd w:val="clear" w:color="000000" w:fill="BFBFBF"/>
            <w:vAlign w:val="center"/>
            <w:hideMark/>
          </w:tcPr>
          <w:p w:rsidR="0046463C" w:rsidRPr="00722857" w:rsidRDefault="00390D21" w:rsidP="0046463C">
            <w:pPr>
              <w:autoSpaceDE/>
              <w:autoSpaceDN/>
              <w:adjustRightInd/>
              <w:spacing w:after="0"/>
              <w:jc w:val="right"/>
              <w:rPr>
                <w:rFonts w:eastAsia="Times New Roman" w:cs="Arial"/>
                <w:b/>
                <w:bCs/>
                <w:lang w:eastAsia="en-GB"/>
              </w:rPr>
            </w:pPr>
            <w:r w:rsidRPr="00722857">
              <w:rPr>
                <w:rFonts w:eastAsia="Times New Roman" w:cs="Arial"/>
                <w:b/>
                <w:bCs/>
                <w:lang w:eastAsia="en-GB"/>
              </w:rPr>
              <w:t>2023/24</w:t>
            </w:r>
          </w:p>
        </w:tc>
      </w:tr>
      <w:tr w:rsidR="00C3717D" w:rsidTr="0046463C">
        <w:trPr>
          <w:trHeight w:val="330"/>
        </w:trPr>
        <w:tc>
          <w:tcPr>
            <w:tcW w:w="4952" w:type="dxa"/>
            <w:tcBorders>
              <w:top w:val="nil"/>
              <w:left w:val="single" w:sz="8" w:space="0" w:color="auto"/>
              <w:bottom w:val="single" w:sz="8" w:space="0" w:color="auto"/>
              <w:right w:val="single" w:sz="8" w:space="0" w:color="auto"/>
            </w:tcBorders>
            <w:shd w:val="clear" w:color="auto" w:fill="auto"/>
            <w:vAlign w:val="center"/>
            <w:hideMark/>
          </w:tcPr>
          <w:p w:rsidR="0046463C" w:rsidRPr="00722857" w:rsidRDefault="00390D21" w:rsidP="0046463C">
            <w:pPr>
              <w:autoSpaceDE/>
              <w:autoSpaceDN/>
              <w:adjustRightInd/>
              <w:spacing w:after="0"/>
              <w:jc w:val="left"/>
              <w:rPr>
                <w:rFonts w:eastAsia="Times New Roman" w:cs="Arial"/>
                <w:b/>
                <w:bCs/>
                <w:lang w:eastAsia="en-GB"/>
              </w:rPr>
            </w:pPr>
            <w:r w:rsidRPr="00722857">
              <w:rPr>
                <w:rFonts w:eastAsia="Times New Roman" w:cs="Arial"/>
                <w:b/>
                <w:bCs/>
                <w:lang w:eastAsia="en-GB"/>
              </w:rPr>
              <w:t>Opening Balance</w:t>
            </w:r>
          </w:p>
        </w:tc>
        <w:tc>
          <w:tcPr>
            <w:tcW w:w="1370" w:type="dxa"/>
            <w:tcBorders>
              <w:top w:val="nil"/>
              <w:left w:val="nil"/>
              <w:bottom w:val="single" w:sz="8" w:space="0" w:color="auto"/>
              <w:right w:val="single" w:sz="8" w:space="0" w:color="auto"/>
            </w:tcBorders>
            <w:shd w:val="clear" w:color="auto" w:fill="auto"/>
            <w:vAlign w:val="center"/>
            <w:hideMark/>
          </w:tcPr>
          <w:p w:rsidR="0046463C" w:rsidRPr="00722857" w:rsidRDefault="00390D21" w:rsidP="0046463C">
            <w:pPr>
              <w:autoSpaceDE/>
              <w:autoSpaceDN/>
              <w:adjustRightInd/>
              <w:spacing w:after="0"/>
              <w:jc w:val="right"/>
              <w:rPr>
                <w:rFonts w:eastAsia="Times New Roman" w:cs="Arial"/>
                <w:lang w:eastAsia="en-GB"/>
              </w:rPr>
            </w:pPr>
            <w:r w:rsidRPr="00722857">
              <w:rPr>
                <w:rFonts w:eastAsia="Times New Roman" w:cs="Arial"/>
                <w:lang w:eastAsia="en-GB"/>
              </w:rPr>
              <w:t>159.420</w:t>
            </w:r>
          </w:p>
        </w:tc>
        <w:tc>
          <w:tcPr>
            <w:tcW w:w="1370" w:type="dxa"/>
            <w:tcBorders>
              <w:top w:val="nil"/>
              <w:left w:val="nil"/>
              <w:bottom w:val="single" w:sz="8" w:space="0" w:color="auto"/>
              <w:right w:val="single" w:sz="8" w:space="0" w:color="auto"/>
            </w:tcBorders>
            <w:shd w:val="clear" w:color="auto" w:fill="auto"/>
            <w:vAlign w:val="center"/>
            <w:hideMark/>
          </w:tcPr>
          <w:p w:rsidR="0046463C" w:rsidRPr="00722857" w:rsidRDefault="00390D21" w:rsidP="0046463C">
            <w:pPr>
              <w:autoSpaceDE/>
              <w:autoSpaceDN/>
              <w:adjustRightInd/>
              <w:spacing w:after="0"/>
              <w:jc w:val="right"/>
              <w:rPr>
                <w:rFonts w:eastAsia="Times New Roman" w:cs="Arial"/>
                <w:lang w:eastAsia="en-GB"/>
              </w:rPr>
            </w:pPr>
            <w:r w:rsidRPr="00722857">
              <w:rPr>
                <w:rFonts w:eastAsia="Times New Roman" w:cs="Arial"/>
                <w:lang w:eastAsia="en-GB"/>
              </w:rPr>
              <w:t>156.607</w:t>
            </w:r>
          </w:p>
        </w:tc>
        <w:tc>
          <w:tcPr>
            <w:tcW w:w="1370" w:type="dxa"/>
            <w:tcBorders>
              <w:top w:val="nil"/>
              <w:left w:val="nil"/>
              <w:bottom w:val="single" w:sz="8" w:space="0" w:color="auto"/>
              <w:right w:val="single" w:sz="8" w:space="0" w:color="auto"/>
            </w:tcBorders>
            <w:shd w:val="clear" w:color="auto" w:fill="auto"/>
            <w:vAlign w:val="center"/>
            <w:hideMark/>
          </w:tcPr>
          <w:p w:rsidR="0046463C" w:rsidRPr="00722857" w:rsidRDefault="00390D21" w:rsidP="00FE6E2C">
            <w:pPr>
              <w:autoSpaceDE/>
              <w:autoSpaceDN/>
              <w:adjustRightInd/>
              <w:spacing w:after="0"/>
              <w:jc w:val="right"/>
              <w:rPr>
                <w:rFonts w:eastAsia="Times New Roman" w:cs="Arial"/>
                <w:lang w:eastAsia="en-GB"/>
              </w:rPr>
            </w:pPr>
            <w:r w:rsidRPr="00722857">
              <w:rPr>
                <w:rFonts w:eastAsia="Times New Roman" w:cs="Arial"/>
                <w:lang w:eastAsia="en-GB"/>
              </w:rPr>
              <w:t>115.21</w:t>
            </w:r>
            <w:r>
              <w:rPr>
                <w:rFonts w:eastAsia="Times New Roman" w:cs="Arial"/>
                <w:lang w:eastAsia="en-GB"/>
              </w:rPr>
              <w:t>0</w:t>
            </w:r>
          </w:p>
        </w:tc>
      </w:tr>
      <w:tr w:rsidR="00C3717D" w:rsidTr="0046463C">
        <w:trPr>
          <w:trHeight w:val="330"/>
        </w:trPr>
        <w:tc>
          <w:tcPr>
            <w:tcW w:w="4952" w:type="dxa"/>
            <w:tcBorders>
              <w:top w:val="nil"/>
              <w:left w:val="single" w:sz="8" w:space="0" w:color="auto"/>
              <w:bottom w:val="single" w:sz="8" w:space="0" w:color="auto"/>
              <w:right w:val="single" w:sz="8" w:space="0" w:color="auto"/>
            </w:tcBorders>
            <w:shd w:val="clear" w:color="auto" w:fill="auto"/>
            <w:vAlign w:val="center"/>
            <w:hideMark/>
          </w:tcPr>
          <w:p w:rsidR="0046463C" w:rsidRPr="00722857" w:rsidRDefault="00390D21" w:rsidP="0046463C">
            <w:pPr>
              <w:autoSpaceDE/>
              <w:autoSpaceDN/>
              <w:adjustRightInd/>
              <w:spacing w:after="0"/>
              <w:jc w:val="left"/>
              <w:rPr>
                <w:rFonts w:eastAsia="Times New Roman" w:cs="Arial"/>
                <w:b/>
                <w:bCs/>
                <w:lang w:eastAsia="en-GB"/>
              </w:rPr>
            </w:pPr>
            <w:r w:rsidRPr="00722857">
              <w:rPr>
                <w:rFonts w:eastAsia="Times New Roman" w:cs="Arial"/>
                <w:b/>
                <w:bCs/>
                <w:lang w:eastAsia="en-GB"/>
              </w:rPr>
              <w:t xml:space="preserve">Gap </w:t>
            </w:r>
            <w:r w:rsidRPr="00722857">
              <w:rPr>
                <w:rFonts w:eastAsia="Times New Roman" w:cs="Arial"/>
                <w:b/>
                <w:bCs/>
                <w:lang w:eastAsia="en-GB"/>
              </w:rPr>
              <w:t>funding</w:t>
            </w:r>
          </w:p>
        </w:tc>
        <w:tc>
          <w:tcPr>
            <w:tcW w:w="1370" w:type="dxa"/>
            <w:tcBorders>
              <w:top w:val="nil"/>
              <w:left w:val="nil"/>
              <w:bottom w:val="single" w:sz="8" w:space="0" w:color="auto"/>
              <w:right w:val="single" w:sz="8" w:space="0" w:color="auto"/>
            </w:tcBorders>
            <w:shd w:val="clear" w:color="auto" w:fill="auto"/>
            <w:vAlign w:val="center"/>
            <w:hideMark/>
          </w:tcPr>
          <w:p w:rsidR="0046463C" w:rsidRPr="00722857" w:rsidRDefault="00390D21" w:rsidP="0046463C">
            <w:pPr>
              <w:autoSpaceDE/>
              <w:autoSpaceDN/>
              <w:adjustRightInd/>
              <w:spacing w:after="0"/>
              <w:jc w:val="right"/>
              <w:rPr>
                <w:rFonts w:eastAsia="Times New Roman" w:cs="Arial"/>
                <w:lang w:eastAsia="en-GB"/>
              </w:rPr>
            </w:pPr>
            <w:r w:rsidRPr="00722857">
              <w:rPr>
                <w:rFonts w:eastAsia="Times New Roman" w:cs="Arial"/>
                <w:lang w:eastAsia="en-GB"/>
              </w:rPr>
              <w:t>2.319</w:t>
            </w:r>
          </w:p>
        </w:tc>
        <w:tc>
          <w:tcPr>
            <w:tcW w:w="1370" w:type="dxa"/>
            <w:tcBorders>
              <w:top w:val="nil"/>
              <w:left w:val="nil"/>
              <w:bottom w:val="single" w:sz="8" w:space="0" w:color="auto"/>
              <w:right w:val="single" w:sz="8" w:space="0" w:color="auto"/>
            </w:tcBorders>
            <w:shd w:val="clear" w:color="auto" w:fill="auto"/>
            <w:vAlign w:val="center"/>
            <w:hideMark/>
          </w:tcPr>
          <w:p w:rsidR="0046463C" w:rsidRPr="00722857" w:rsidRDefault="00390D21" w:rsidP="0046463C">
            <w:pPr>
              <w:autoSpaceDE/>
              <w:autoSpaceDN/>
              <w:adjustRightInd/>
              <w:spacing w:after="0"/>
              <w:jc w:val="right"/>
              <w:rPr>
                <w:rFonts w:eastAsia="Times New Roman" w:cs="Arial"/>
                <w:lang w:eastAsia="en-GB"/>
              </w:rPr>
            </w:pPr>
            <w:r w:rsidRPr="00722857">
              <w:rPr>
                <w:rFonts w:eastAsia="Times New Roman" w:cs="Arial"/>
                <w:lang w:eastAsia="en-GB"/>
              </w:rPr>
              <w:t>41.198</w:t>
            </w:r>
          </w:p>
        </w:tc>
        <w:tc>
          <w:tcPr>
            <w:tcW w:w="1370" w:type="dxa"/>
            <w:tcBorders>
              <w:top w:val="nil"/>
              <w:left w:val="nil"/>
              <w:bottom w:val="single" w:sz="8" w:space="0" w:color="auto"/>
              <w:right w:val="single" w:sz="8" w:space="0" w:color="auto"/>
            </w:tcBorders>
            <w:shd w:val="clear" w:color="auto" w:fill="auto"/>
            <w:vAlign w:val="center"/>
            <w:hideMark/>
          </w:tcPr>
          <w:p w:rsidR="0046463C" w:rsidRPr="00722857" w:rsidRDefault="00390D21" w:rsidP="0046463C">
            <w:pPr>
              <w:autoSpaceDE/>
              <w:autoSpaceDN/>
              <w:adjustRightInd/>
              <w:spacing w:after="0"/>
              <w:jc w:val="right"/>
              <w:rPr>
                <w:rFonts w:eastAsia="Times New Roman" w:cs="Arial"/>
                <w:lang w:eastAsia="en-GB"/>
              </w:rPr>
            </w:pPr>
            <w:r w:rsidRPr="00722857">
              <w:rPr>
                <w:rFonts w:eastAsia="Times New Roman" w:cs="Arial"/>
                <w:lang w:eastAsia="en-GB"/>
              </w:rPr>
              <w:t>53.956</w:t>
            </w:r>
          </w:p>
        </w:tc>
      </w:tr>
      <w:tr w:rsidR="00C3717D" w:rsidTr="0046463C">
        <w:trPr>
          <w:trHeight w:val="330"/>
        </w:trPr>
        <w:tc>
          <w:tcPr>
            <w:tcW w:w="4952" w:type="dxa"/>
            <w:tcBorders>
              <w:top w:val="nil"/>
              <w:left w:val="single" w:sz="8" w:space="0" w:color="auto"/>
              <w:bottom w:val="single" w:sz="8" w:space="0" w:color="auto"/>
              <w:right w:val="single" w:sz="8" w:space="0" w:color="auto"/>
            </w:tcBorders>
            <w:shd w:val="clear" w:color="auto" w:fill="auto"/>
            <w:vAlign w:val="center"/>
            <w:hideMark/>
          </w:tcPr>
          <w:p w:rsidR="0046463C" w:rsidRPr="00722857" w:rsidRDefault="00390D21" w:rsidP="0046463C">
            <w:pPr>
              <w:autoSpaceDE/>
              <w:autoSpaceDN/>
              <w:adjustRightInd/>
              <w:spacing w:after="0"/>
              <w:jc w:val="left"/>
              <w:rPr>
                <w:rFonts w:eastAsia="Times New Roman" w:cs="Arial"/>
                <w:b/>
                <w:bCs/>
                <w:lang w:eastAsia="en-GB"/>
              </w:rPr>
            </w:pPr>
            <w:r w:rsidRPr="00722857">
              <w:rPr>
                <w:rFonts w:eastAsia="Times New Roman" w:cs="Arial"/>
                <w:b/>
                <w:bCs/>
                <w:lang w:eastAsia="en-GB"/>
              </w:rPr>
              <w:t>Commitments</w:t>
            </w:r>
          </w:p>
        </w:tc>
        <w:tc>
          <w:tcPr>
            <w:tcW w:w="1370" w:type="dxa"/>
            <w:tcBorders>
              <w:top w:val="nil"/>
              <w:left w:val="nil"/>
              <w:bottom w:val="single" w:sz="8" w:space="0" w:color="auto"/>
              <w:right w:val="single" w:sz="8" w:space="0" w:color="auto"/>
            </w:tcBorders>
            <w:shd w:val="clear" w:color="auto" w:fill="auto"/>
            <w:vAlign w:val="center"/>
            <w:hideMark/>
          </w:tcPr>
          <w:p w:rsidR="0046463C" w:rsidRPr="00722857" w:rsidRDefault="00390D21" w:rsidP="0046463C">
            <w:pPr>
              <w:autoSpaceDE/>
              <w:autoSpaceDN/>
              <w:adjustRightInd/>
              <w:spacing w:after="0"/>
              <w:jc w:val="right"/>
              <w:rPr>
                <w:rFonts w:eastAsia="Times New Roman" w:cs="Arial"/>
                <w:lang w:eastAsia="en-GB"/>
              </w:rPr>
            </w:pPr>
            <w:r w:rsidRPr="00722857">
              <w:rPr>
                <w:rFonts w:eastAsia="Times New Roman" w:cs="Arial"/>
                <w:lang w:eastAsia="en-GB"/>
              </w:rPr>
              <w:t>0.494</w:t>
            </w:r>
          </w:p>
        </w:tc>
        <w:tc>
          <w:tcPr>
            <w:tcW w:w="1370" w:type="dxa"/>
            <w:tcBorders>
              <w:top w:val="nil"/>
              <w:left w:val="nil"/>
              <w:bottom w:val="single" w:sz="8" w:space="0" w:color="auto"/>
              <w:right w:val="single" w:sz="8" w:space="0" w:color="auto"/>
            </w:tcBorders>
            <w:shd w:val="clear" w:color="auto" w:fill="auto"/>
            <w:vAlign w:val="center"/>
            <w:hideMark/>
          </w:tcPr>
          <w:p w:rsidR="0046463C" w:rsidRPr="00722857" w:rsidRDefault="00390D21" w:rsidP="0046463C">
            <w:pPr>
              <w:autoSpaceDE/>
              <w:autoSpaceDN/>
              <w:adjustRightInd/>
              <w:spacing w:after="0"/>
              <w:jc w:val="right"/>
              <w:rPr>
                <w:rFonts w:eastAsia="Times New Roman" w:cs="Arial"/>
                <w:lang w:eastAsia="en-GB"/>
              </w:rPr>
            </w:pPr>
            <w:r w:rsidRPr="00722857">
              <w:rPr>
                <w:rFonts w:eastAsia="Times New Roman" w:cs="Arial"/>
                <w:lang w:eastAsia="en-GB"/>
              </w:rPr>
              <w:t>0.199</w:t>
            </w:r>
          </w:p>
        </w:tc>
        <w:tc>
          <w:tcPr>
            <w:tcW w:w="1370" w:type="dxa"/>
            <w:tcBorders>
              <w:top w:val="nil"/>
              <w:left w:val="nil"/>
              <w:bottom w:val="single" w:sz="8" w:space="0" w:color="auto"/>
              <w:right w:val="single" w:sz="8" w:space="0" w:color="auto"/>
            </w:tcBorders>
            <w:shd w:val="clear" w:color="auto" w:fill="auto"/>
            <w:vAlign w:val="center"/>
            <w:hideMark/>
          </w:tcPr>
          <w:p w:rsidR="0046463C" w:rsidRPr="00722857" w:rsidRDefault="00390D21" w:rsidP="0046463C">
            <w:pPr>
              <w:autoSpaceDE/>
              <w:autoSpaceDN/>
              <w:adjustRightInd/>
              <w:spacing w:after="0"/>
              <w:jc w:val="right"/>
              <w:rPr>
                <w:rFonts w:eastAsia="Times New Roman" w:cs="Arial"/>
                <w:lang w:eastAsia="en-GB"/>
              </w:rPr>
            </w:pPr>
            <w:r w:rsidRPr="00722857">
              <w:rPr>
                <w:rFonts w:eastAsia="Times New Roman" w:cs="Arial"/>
                <w:lang w:eastAsia="en-GB"/>
              </w:rPr>
              <w:t>0.000</w:t>
            </w:r>
          </w:p>
        </w:tc>
      </w:tr>
      <w:tr w:rsidR="00C3717D" w:rsidTr="0046463C">
        <w:trPr>
          <w:trHeight w:val="330"/>
        </w:trPr>
        <w:tc>
          <w:tcPr>
            <w:tcW w:w="4952" w:type="dxa"/>
            <w:tcBorders>
              <w:top w:val="nil"/>
              <w:left w:val="single" w:sz="8" w:space="0" w:color="auto"/>
              <w:bottom w:val="single" w:sz="8" w:space="0" w:color="auto"/>
              <w:right w:val="single" w:sz="8" w:space="0" w:color="auto"/>
            </w:tcBorders>
            <w:shd w:val="clear" w:color="000000" w:fill="BFBFBF"/>
            <w:vAlign w:val="center"/>
            <w:hideMark/>
          </w:tcPr>
          <w:p w:rsidR="0046463C" w:rsidRPr="00722857" w:rsidRDefault="00390D21" w:rsidP="0046463C">
            <w:pPr>
              <w:autoSpaceDE/>
              <w:autoSpaceDN/>
              <w:adjustRightInd/>
              <w:spacing w:after="0"/>
              <w:jc w:val="left"/>
              <w:rPr>
                <w:rFonts w:eastAsia="Times New Roman" w:cs="Arial"/>
                <w:b/>
                <w:bCs/>
                <w:lang w:eastAsia="en-GB"/>
              </w:rPr>
            </w:pPr>
            <w:r w:rsidRPr="00722857">
              <w:rPr>
                <w:rFonts w:eastAsia="Times New Roman" w:cs="Arial"/>
                <w:b/>
                <w:bCs/>
                <w:lang w:eastAsia="en-GB"/>
              </w:rPr>
              <w:t>Closing balance</w:t>
            </w:r>
          </w:p>
        </w:tc>
        <w:tc>
          <w:tcPr>
            <w:tcW w:w="1370" w:type="dxa"/>
            <w:tcBorders>
              <w:top w:val="nil"/>
              <w:left w:val="nil"/>
              <w:bottom w:val="single" w:sz="8" w:space="0" w:color="auto"/>
              <w:right w:val="single" w:sz="8" w:space="0" w:color="auto"/>
            </w:tcBorders>
            <w:shd w:val="clear" w:color="000000" w:fill="BFBFBF"/>
            <w:vAlign w:val="center"/>
            <w:hideMark/>
          </w:tcPr>
          <w:p w:rsidR="0046463C" w:rsidRPr="00722857" w:rsidRDefault="00390D21" w:rsidP="0046463C">
            <w:pPr>
              <w:autoSpaceDE/>
              <w:autoSpaceDN/>
              <w:adjustRightInd/>
              <w:spacing w:after="0"/>
              <w:jc w:val="right"/>
              <w:rPr>
                <w:rFonts w:eastAsia="Times New Roman" w:cs="Arial"/>
                <w:b/>
                <w:bCs/>
                <w:lang w:eastAsia="en-GB"/>
              </w:rPr>
            </w:pPr>
            <w:r w:rsidRPr="00722857">
              <w:rPr>
                <w:rFonts w:eastAsia="Times New Roman" w:cs="Arial"/>
                <w:b/>
                <w:bCs/>
                <w:lang w:eastAsia="en-GB"/>
              </w:rPr>
              <w:t>156.607</w:t>
            </w:r>
          </w:p>
        </w:tc>
        <w:tc>
          <w:tcPr>
            <w:tcW w:w="1370" w:type="dxa"/>
            <w:tcBorders>
              <w:top w:val="nil"/>
              <w:left w:val="nil"/>
              <w:bottom w:val="single" w:sz="8" w:space="0" w:color="auto"/>
              <w:right w:val="single" w:sz="8" w:space="0" w:color="auto"/>
            </w:tcBorders>
            <w:shd w:val="clear" w:color="000000" w:fill="BFBFBF"/>
            <w:vAlign w:val="center"/>
            <w:hideMark/>
          </w:tcPr>
          <w:p w:rsidR="0046463C" w:rsidRPr="00722857" w:rsidRDefault="00390D21" w:rsidP="0046463C">
            <w:pPr>
              <w:autoSpaceDE/>
              <w:autoSpaceDN/>
              <w:adjustRightInd/>
              <w:spacing w:after="0"/>
              <w:jc w:val="right"/>
              <w:rPr>
                <w:rFonts w:eastAsia="Times New Roman" w:cs="Arial"/>
                <w:b/>
                <w:bCs/>
                <w:lang w:eastAsia="en-GB"/>
              </w:rPr>
            </w:pPr>
            <w:r>
              <w:rPr>
                <w:rFonts w:eastAsia="Times New Roman" w:cs="Arial"/>
                <w:b/>
                <w:bCs/>
                <w:lang w:eastAsia="en-GB"/>
              </w:rPr>
              <w:t>115.210</w:t>
            </w:r>
          </w:p>
        </w:tc>
        <w:tc>
          <w:tcPr>
            <w:tcW w:w="1370" w:type="dxa"/>
            <w:tcBorders>
              <w:top w:val="nil"/>
              <w:left w:val="nil"/>
              <w:bottom w:val="single" w:sz="8" w:space="0" w:color="auto"/>
              <w:right w:val="single" w:sz="8" w:space="0" w:color="auto"/>
            </w:tcBorders>
            <w:shd w:val="clear" w:color="000000" w:fill="BFBFBF"/>
            <w:vAlign w:val="center"/>
            <w:hideMark/>
          </w:tcPr>
          <w:p w:rsidR="0046463C" w:rsidRPr="00722857" w:rsidRDefault="00390D21" w:rsidP="00FE6E2C">
            <w:pPr>
              <w:autoSpaceDE/>
              <w:autoSpaceDN/>
              <w:adjustRightInd/>
              <w:spacing w:after="0"/>
              <w:jc w:val="right"/>
              <w:rPr>
                <w:rFonts w:eastAsia="Times New Roman" w:cs="Arial"/>
                <w:b/>
                <w:bCs/>
                <w:lang w:eastAsia="en-GB"/>
              </w:rPr>
            </w:pPr>
            <w:r w:rsidRPr="00722857">
              <w:rPr>
                <w:rFonts w:eastAsia="Times New Roman" w:cs="Arial"/>
                <w:b/>
                <w:bCs/>
                <w:lang w:eastAsia="en-GB"/>
              </w:rPr>
              <w:t>61.25</w:t>
            </w:r>
            <w:r>
              <w:rPr>
                <w:rFonts w:eastAsia="Times New Roman" w:cs="Arial"/>
                <w:b/>
                <w:bCs/>
                <w:lang w:eastAsia="en-GB"/>
              </w:rPr>
              <w:t>4</w:t>
            </w:r>
          </w:p>
        </w:tc>
      </w:tr>
    </w:tbl>
    <w:p w:rsidR="0046463C" w:rsidRPr="0049468E" w:rsidRDefault="00390D21" w:rsidP="0046463C">
      <w:pPr>
        <w:tabs>
          <w:tab w:val="left" w:pos="567"/>
          <w:tab w:val="left" w:pos="1134"/>
        </w:tabs>
        <w:spacing w:after="0"/>
        <w:rPr>
          <w:rFonts w:cs="Arial"/>
          <w:highlight w:val="yellow"/>
        </w:rPr>
      </w:pPr>
    </w:p>
    <w:p w:rsidR="0046463C" w:rsidRPr="006427E4" w:rsidRDefault="00390D21" w:rsidP="0046463C">
      <w:pPr>
        <w:tabs>
          <w:tab w:val="left" w:pos="567"/>
          <w:tab w:val="left" w:pos="1134"/>
        </w:tabs>
        <w:spacing w:after="0"/>
        <w:rPr>
          <w:rFonts w:cs="Arial"/>
          <w:b/>
        </w:rPr>
      </w:pPr>
      <w:r w:rsidRPr="006427E4">
        <w:rPr>
          <w:rFonts w:cs="Arial"/>
          <w:b/>
        </w:rPr>
        <w:t>5. Future risks and opportunities</w:t>
      </w:r>
    </w:p>
    <w:p w:rsidR="0046463C" w:rsidRPr="006427E4" w:rsidRDefault="00390D21" w:rsidP="0046463C">
      <w:pPr>
        <w:tabs>
          <w:tab w:val="left" w:pos="567"/>
          <w:tab w:val="left" w:pos="1134"/>
        </w:tabs>
        <w:spacing w:after="0"/>
        <w:rPr>
          <w:rFonts w:cs="Arial"/>
        </w:rPr>
      </w:pPr>
    </w:p>
    <w:p w:rsidR="0046463C" w:rsidRPr="006427E4" w:rsidRDefault="00390D21" w:rsidP="0046463C">
      <w:pPr>
        <w:tabs>
          <w:tab w:val="left" w:pos="567"/>
          <w:tab w:val="left" w:pos="1134"/>
        </w:tabs>
        <w:spacing w:after="0"/>
        <w:rPr>
          <w:rFonts w:cs="Arial"/>
        </w:rPr>
      </w:pPr>
      <w:r w:rsidRPr="006427E4">
        <w:rPr>
          <w:rFonts w:cs="Arial"/>
        </w:rPr>
        <w:t>The following are key future risks, the full impact of which is not known at this stage:</w:t>
      </w:r>
    </w:p>
    <w:p w:rsidR="0046463C" w:rsidRPr="0049468E" w:rsidRDefault="00390D21" w:rsidP="0046463C">
      <w:pPr>
        <w:tabs>
          <w:tab w:val="left" w:pos="567"/>
          <w:tab w:val="left" w:pos="1134"/>
        </w:tabs>
        <w:spacing w:after="0"/>
        <w:rPr>
          <w:rFonts w:cs="Arial"/>
          <w:highlight w:val="yellow"/>
        </w:rPr>
      </w:pPr>
    </w:p>
    <w:p w:rsidR="0046463C" w:rsidRPr="006427E4" w:rsidRDefault="00390D21" w:rsidP="0046463C">
      <w:pPr>
        <w:tabs>
          <w:tab w:val="left" w:pos="567"/>
          <w:tab w:val="left" w:pos="1134"/>
        </w:tabs>
        <w:spacing w:after="0"/>
        <w:rPr>
          <w:rFonts w:cs="Arial"/>
          <w:b/>
        </w:rPr>
      </w:pPr>
      <w:r w:rsidRPr="006427E4">
        <w:rPr>
          <w:rFonts w:cs="Arial"/>
          <w:b/>
        </w:rPr>
        <w:t xml:space="preserve">5.1 The financial impacts of </w:t>
      </w:r>
      <w:r w:rsidRPr="006427E4">
        <w:rPr>
          <w:rFonts w:cs="Arial"/>
          <w:b/>
        </w:rPr>
        <w:t>the ongoing Covid-19 response</w:t>
      </w:r>
    </w:p>
    <w:p w:rsidR="0046463C" w:rsidRPr="006427E4" w:rsidRDefault="00390D21" w:rsidP="0046463C">
      <w:pPr>
        <w:tabs>
          <w:tab w:val="left" w:pos="567"/>
          <w:tab w:val="left" w:pos="1134"/>
        </w:tabs>
        <w:spacing w:after="0"/>
        <w:rPr>
          <w:rFonts w:cs="Arial"/>
        </w:rPr>
      </w:pPr>
      <w:r w:rsidRPr="006427E4">
        <w:rPr>
          <w:rFonts w:cs="Arial"/>
        </w:rPr>
        <w:t>The longer term financial impacts of the response to the pandemic remain unclear. A protracted recovery period or a subsequent spike are likely to lead to further financial pressures to the authority.</w:t>
      </w:r>
    </w:p>
    <w:p w:rsidR="0046463C" w:rsidRPr="0049468E" w:rsidRDefault="00390D21" w:rsidP="0046463C">
      <w:pPr>
        <w:tabs>
          <w:tab w:val="left" w:pos="567"/>
          <w:tab w:val="left" w:pos="1134"/>
        </w:tabs>
        <w:spacing w:after="0"/>
        <w:rPr>
          <w:rFonts w:cs="Arial"/>
          <w:highlight w:val="yellow"/>
        </w:rPr>
      </w:pPr>
    </w:p>
    <w:p w:rsidR="0046463C" w:rsidRPr="006427E4" w:rsidRDefault="00390D21" w:rsidP="0046463C">
      <w:pPr>
        <w:tabs>
          <w:tab w:val="left" w:pos="567"/>
          <w:tab w:val="left" w:pos="1134"/>
        </w:tabs>
        <w:spacing w:after="0"/>
        <w:rPr>
          <w:rFonts w:cs="Arial"/>
        </w:rPr>
      </w:pPr>
      <w:r w:rsidRPr="006427E4">
        <w:rPr>
          <w:rFonts w:cs="Arial"/>
        </w:rPr>
        <w:t xml:space="preserve">The ongoing impacts and </w:t>
      </w:r>
      <w:r w:rsidRPr="006427E4">
        <w:rPr>
          <w:rFonts w:cs="Arial"/>
        </w:rPr>
        <w:t>revision to service delivery and to service user demand for service and the way it is delivered post pandemic could lead to volatility of pressure on the budget.</w:t>
      </w:r>
    </w:p>
    <w:p w:rsidR="0046463C" w:rsidRPr="0049468E" w:rsidRDefault="00390D21" w:rsidP="0046463C">
      <w:pPr>
        <w:tabs>
          <w:tab w:val="left" w:pos="567"/>
          <w:tab w:val="left" w:pos="1134"/>
        </w:tabs>
        <w:spacing w:after="0"/>
        <w:rPr>
          <w:rFonts w:cs="Arial"/>
          <w:highlight w:val="yellow"/>
        </w:rPr>
      </w:pPr>
    </w:p>
    <w:p w:rsidR="0046463C" w:rsidRPr="006427E4" w:rsidRDefault="00390D21" w:rsidP="0046463C">
      <w:pPr>
        <w:tabs>
          <w:tab w:val="left" w:pos="567"/>
          <w:tab w:val="left" w:pos="1134"/>
        </w:tabs>
        <w:spacing w:after="0"/>
        <w:rPr>
          <w:rFonts w:cs="Arial"/>
        </w:rPr>
      </w:pPr>
      <w:r w:rsidRPr="006427E4">
        <w:rPr>
          <w:rFonts w:cs="Arial"/>
        </w:rPr>
        <w:t>We are assessing the ongoing need for additional and ceased services in response to the situa</w:t>
      </w:r>
      <w:r w:rsidRPr="006427E4">
        <w:rPr>
          <w:rFonts w:cs="Arial"/>
        </w:rPr>
        <w:t xml:space="preserve">tion and will evaluate the revised budget requirement as a result.  </w:t>
      </w:r>
    </w:p>
    <w:p w:rsidR="0046463C" w:rsidRPr="0049468E" w:rsidRDefault="00390D21" w:rsidP="0046463C">
      <w:pPr>
        <w:tabs>
          <w:tab w:val="left" w:pos="567"/>
          <w:tab w:val="left" w:pos="1134"/>
        </w:tabs>
        <w:spacing w:after="0"/>
        <w:rPr>
          <w:rFonts w:cs="Arial"/>
          <w:highlight w:val="yellow"/>
        </w:rPr>
      </w:pPr>
    </w:p>
    <w:p w:rsidR="0046463C" w:rsidRPr="006427E4" w:rsidRDefault="00390D21" w:rsidP="0046463C">
      <w:pPr>
        <w:tabs>
          <w:tab w:val="left" w:pos="567"/>
          <w:tab w:val="left" w:pos="1134"/>
        </w:tabs>
        <w:spacing w:after="0"/>
        <w:rPr>
          <w:rFonts w:cs="Arial"/>
        </w:rPr>
      </w:pPr>
      <w:r w:rsidRPr="006427E4">
        <w:rPr>
          <w:rFonts w:cs="Arial"/>
        </w:rPr>
        <w:t>Following a one year spending review for 2021/22 there is continued uncertainty about the future funding envelope and significant assumptions have to be made as part of the development o</w:t>
      </w:r>
      <w:r w:rsidRPr="006427E4">
        <w:rPr>
          <w:rFonts w:cs="Arial"/>
        </w:rPr>
        <w:t xml:space="preserve">f the MTFS. </w:t>
      </w:r>
    </w:p>
    <w:p w:rsidR="0046463C" w:rsidRPr="006427E4" w:rsidRDefault="00390D21" w:rsidP="0046463C">
      <w:pPr>
        <w:tabs>
          <w:tab w:val="left" w:pos="567"/>
          <w:tab w:val="left" w:pos="1134"/>
        </w:tabs>
        <w:spacing w:after="0"/>
        <w:rPr>
          <w:rFonts w:cs="Arial"/>
        </w:rPr>
      </w:pPr>
    </w:p>
    <w:p w:rsidR="0046463C" w:rsidRPr="006427E4" w:rsidRDefault="00390D21" w:rsidP="0046463C">
      <w:pPr>
        <w:tabs>
          <w:tab w:val="left" w:pos="567"/>
          <w:tab w:val="left" w:pos="1134"/>
        </w:tabs>
        <w:spacing w:after="0"/>
        <w:rPr>
          <w:rFonts w:cs="Arial"/>
        </w:rPr>
      </w:pPr>
      <w:r w:rsidRPr="006427E4">
        <w:rPr>
          <w:rFonts w:cs="Arial"/>
        </w:rPr>
        <w:t>For the purposes of this MTFS we have assumed that there is no additional funding to meet any pressures included in relation to the virus beyond the first quarter of 2021/22 as announced within the Spending Review 2020 and Provisional Settlem</w:t>
      </w:r>
      <w:r w:rsidRPr="006427E4">
        <w:rPr>
          <w:rFonts w:cs="Arial"/>
        </w:rPr>
        <w:t xml:space="preserve">ent. </w:t>
      </w:r>
    </w:p>
    <w:p w:rsidR="0046463C" w:rsidRPr="0049468E" w:rsidRDefault="00390D21" w:rsidP="0046463C">
      <w:pPr>
        <w:tabs>
          <w:tab w:val="left" w:pos="567"/>
          <w:tab w:val="left" w:pos="1134"/>
        </w:tabs>
        <w:spacing w:after="0"/>
        <w:rPr>
          <w:rFonts w:cs="Arial"/>
          <w:highlight w:val="yellow"/>
        </w:rPr>
      </w:pPr>
    </w:p>
    <w:p w:rsidR="0046463C" w:rsidRPr="006427E4" w:rsidRDefault="00390D21" w:rsidP="0046463C">
      <w:pPr>
        <w:tabs>
          <w:tab w:val="left" w:pos="567"/>
          <w:tab w:val="left" w:pos="1134"/>
        </w:tabs>
        <w:spacing w:after="0"/>
        <w:rPr>
          <w:rFonts w:cs="Arial"/>
          <w:b/>
        </w:rPr>
      </w:pPr>
      <w:r w:rsidRPr="006427E4">
        <w:rPr>
          <w:rFonts w:cs="Arial"/>
          <w:b/>
        </w:rPr>
        <w:t>5.2 Savings delivery</w:t>
      </w:r>
    </w:p>
    <w:p w:rsidR="0046463C" w:rsidRPr="006427E4" w:rsidRDefault="00390D21" w:rsidP="0046463C">
      <w:pPr>
        <w:spacing w:after="0"/>
        <w:rPr>
          <w:rFonts w:cs="Arial"/>
        </w:rPr>
      </w:pPr>
      <w:r w:rsidRPr="006427E4">
        <w:rPr>
          <w:rFonts w:cs="Arial"/>
        </w:rPr>
        <w:t>The scale of savings agreed to be delivered over future financial years remains significant with £24.876m currently forecast to be delayed in 2020/21 as a result of refocussing officer priorities to the response to the current p</w:t>
      </w:r>
      <w:r w:rsidRPr="006427E4">
        <w:rPr>
          <w:rFonts w:cs="Arial"/>
        </w:rPr>
        <w:t>andemic. In addition there</w:t>
      </w:r>
      <w:r>
        <w:rPr>
          <w:rFonts w:cs="Arial"/>
        </w:rPr>
        <w:t xml:space="preserve"> are forecast savings of £24.241</w:t>
      </w:r>
      <w:r w:rsidRPr="006427E4">
        <w:rPr>
          <w:rFonts w:cs="Arial"/>
        </w:rPr>
        <w:t xml:space="preserve">m to be delivered </w:t>
      </w:r>
      <w:r>
        <w:rPr>
          <w:rFonts w:cs="Arial"/>
        </w:rPr>
        <w:t>across</w:t>
      </w:r>
      <w:r>
        <w:rPr>
          <w:rFonts w:cs="Arial"/>
        </w:rPr>
        <w:t xml:space="preserve"> 2021/22</w:t>
      </w:r>
      <w:r>
        <w:rPr>
          <w:rFonts w:cs="Arial"/>
        </w:rPr>
        <w:t xml:space="preserve"> and 2022/23</w:t>
      </w:r>
      <w:r>
        <w:rPr>
          <w:rFonts w:cs="Arial"/>
        </w:rPr>
        <w:t>.</w:t>
      </w:r>
    </w:p>
    <w:p w:rsidR="0046463C" w:rsidRPr="006427E4" w:rsidRDefault="00390D21" w:rsidP="0046463C">
      <w:pPr>
        <w:spacing w:after="0"/>
        <w:rPr>
          <w:rFonts w:cs="Arial"/>
        </w:rPr>
      </w:pPr>
    </w:p>
    <w:p w:rsidR="0046463C" w:rsidRPr="006427E4" w:rsidRDefault="00390D21" w:rsidP="0046463C">
      <w:pPr>
        <w:spacing w:after="0"/>
        <w:rPr>
          <w:rFonts w:cs="Arial"/>
        </w:rPr>
      </w:pPr>
      <w:r w:rsidRPr="006427E4">
        <w:rPr>
          <w:rFonts w:cs="Arial"/>
        </w:rPr>
        <w:t>Should the Covid emergency response continue for a protracted period it is likely that there will be further slippage.</w:t>
      </w:r>
    </w:p>
    <w:p w:rsidR="0046463C" w:rsidRPr="006427E4" w:rsidRDefault="00390D21" w:rsidP="0046463C">
      <w:pPr>
        <w:spacing w:after="0"/>
        <w:rPr>
          <w:rFonts w:cs="Arial"/>
        </w:rPr>
      </w:pPr>
    </w:p>
    <w:p w:rsidR="0046463C" w:rsidRPr="006427E4" w:rsidRDefault="00390D21" w:rsidP="0046463C">
      <w:pPr>
        <w:spacing w:after="0"/>
        <w:rPr>
          <w:rFonts w:cs="Arial"/>
        </w:rPr>
      </w:pPr>
      <w:r w:rsidRPr="006427E4">
        <w:rPr>
          <w:rFonts w:cs="Arial"/>
        </w:rPr>
        <w:lastRenderedPageBreak/>
        <w:t>Any significant under-delivery or slippage to delivery timeframes will create an additional funding pressure and impact on the ongoing and longer-term financial health of the council if those costs are not mitigated by the Government providing additional f</w:t>
      </w:r>
      <w:r w:rsidRPr="006427E4">
        <w:rPr>
          <w:rFonts w:cs="Arial"/>
        </w:rPr>
        <w:t xml:space="preserve">unding in future years.    </w:t>
      </w:r>
    </w:p>
    <w:p w:rsidR="0046463C" w:rsidRPr="006427E4" w:rsidRDefault="00390D21" w:rsidP="0046463C">
      <w:pPr>
        <w:spacing w:after="0"/>
        <w:rPr>
          <w:rFonts w:cs="Arial"/>
        </w:rPr>
      </w:pPr>
    </w:p>
    <w:p w:rsidR="0046463C" w:rsidRPr="006427E4" w:rsidRDefault="00390D21" w:rsidP="0046463C">
      <w:pPr>
        <w:spacing w:after="0"/>
        <w:rPr>
          <w:rFonts w:cs="Arial"/>
        </w:rPr>
      </w:pPr>
      <w:r w:rsidRPr="006427E4">
        <w:rPr>
          <w:rFonts w:cs="Arial"/>
        </w:rPr>
        <w:t>There are inherent risks in the delivery of any savings programme of this scale, particularly where they are directly linked to reducing the future demand for services. However, there is a strong track record of delivery of the</w:t>
      </w:r>
      <w:r w:rsidRPr="006427E4">
        <w:rPr>
          <w:rFonts w:cs="Arial"/>
        </w:rPr>
        <w:t xml:space="preserve"> vast majority of previous savings plans and there are comprehensive arrangements in place to track delivery of financial savings and take corrective actions where required. </w:t>
      </w:r>
    </w:p>
    <w:p w:rsidR="0046463C" w:rsidRPr="0049468E" w:rsidRDefault="00390D21" w:rsidP="0046463C">
      <w:pPr>
        <w:tabs>
          <w:tab w:val="left" w:pos="567"/>
          <w:tab w:val="left" w:pos="1134"/>
        </w:tabs>
        <w:spacing w:after="0"/>
        <w:rPr>
          <w:rFonts w:cs="Arial"/>
          <w:highlight w:val="yellow"/>
        </w:rPr>
      </w:pPr>
    </w:p>
    <w:p w:rsidR="0046463C" w:rsidRPr="006427E4" w:rsidRDefault="00390D21" w:rsidP="0046463C">
      <w:pPr>
        <w:tabs>
          <w:tab w:val="left" w:pos="567"/>
          <w:tab w:val="left" w:pos="1134"/>
        </w:tabs>
        <w:spacing w:after="0"/>
        <w:rPr>
          <w:rFonts w:cs="Arial"/>
          <w:b/>
        </w:rPr>
      </w:pPr>
      <w:r w:rsidRPr="006427E4">
        <w:rPr>
          <w:rFonts w:cs="Arial"/>
          <w:b/>
        </w:rPr>
        <w:t>5.3 Business rates retention / changes to funding formula</w:t>
      </w:r>
    </w:p>
    <w:p w:rsidR="0046463C" w:rsidRPr="006427E4" w:rsidRDefault="00390D21" w:rsidP="0046463C">
      <w:pPr>
        <w:tabs>
          <w:tab w:val="left" w:pos="567"/>
          <w:tab w:val="left" w:pos="1134"/>
        </w:tabs>
        <w:spacing w:after="0"/>
        <w:rPr>
          <w:rFonts w:cs="Arial"/>
        </w:rPr>
      </w:pPr>
      <w:r w:rsidRPr="006427E4">
        <w:rPr>
          <w:rFonts w:cs="Arial"/>
        </w:rPr>
        <w:t>As previously explaine</w:t>
      </w:r>
      <w:r w:rsidRPr="006427E4">
        <w:rPr>
          <w:rFonts w:cs="Arial"/>
        </w:rPr>
        <w:t>d, the future funding arrangements to be established by government pose a risk to the council. New arrangements for business rates, will not be in force before financial year 2022/23.</w:t>
      </w:r>
    </w:p>
    <w:p w:rsidR="0046463C" w:rsidRPr="006427E4" w:rsidRDefault="00390D21" w:rsidP="0046463C">
      <w:pPr>
        <w:tabs>
          <w:tab w:val="left" w:pos="567"/>
          <w:tab w:val="left" w:pos="1134"/>
        </w:tabs>
        <w:spacing w:after="0"/>
        <w:rPr>
          <w:rFonts w:cs="Arial"/>
        </w:rPr>
      </w:pPr>
    </w:p>
    <w:p w:rsidR="0046463C" w:rsidRPr="006427E4" w:rsidRDefault="00390D21" w:rsidP="0046463C">
      <w:pPr>
        <w:tabs>
          <w:tab w:val="left" w:pos="567"/>
          <w:tab w:val="left" w:pos="1134"/>
        </w:tabs>
        <w:spacing w:after="0"/>
        <w:rPr>
          <w:rFonts w:cs="Arial"/>
        </w:rPr>
      </w:pPr>
      <w:r w:rsidRPr="006427E4">
        <w:rPr>
          <w:rFonts w:cs="Arial"/>
        </w:rPr>
        <w:t>As discussed earlier within this report, the changes to the funding for</w:t>
      </w:r>
      <w:r w:rsidRPr="006427E4">
        <w:rPr>
          <w:rFonts w:cs="Arial"/>
        </w:rPr>
        <w:t>mula have been delayed. The outcome from the review may reduce funding below what is assumed in the MTFS. Conversely there is equally an opportunity that additional resources are made available through this process.  The successful outcome of the Lancashir</w:t>
      </w:r>
      <w:r w:rsidRPr="006427E4">
        <w:rPr>
          <w:rFonts w:cs="Arial"/>
        </w:rPr>
        <w:t xml:space="preserve">e business rates pilot bid in 2019/20 has enabled the county council, districts, unitaries and fire authority to be well prepared for the implementation of the business rates retention scheme although the final details are not known at this stage. </w:t>
      </w:r>
    </w:p>
    <w:p w:rsidR="0046463C" w:rsidRPr="0049468E" w:rsidRDefault="00390D21" w:rsidP="0046463C">
      <w:pPr>
        <w:tabs>
          <w:tab w:val="left" w:pos="567"/>
          <w:tab w:val="left" w:pos="1134"/>
        </w:tabs>
        <w:spacing w:after="0"/>
        <w:rPr>
          <w:rFonts w:cs="Arial"/>
          <w:highlight w:val="yellow"/>
        </w:rPr>
      </w:pPr>
    </w:p>
    <w:p w:rsidR="0046463C" w:rsidRPr="006427E4" w:rsidRDefault="00390D21" w:rsidP="0046463C">
      <w:pPr>
        <w:tabs>
          <w:tab w:val="left" w:pos="567"/>
          <w:tab w:val="left" w:pos="1134"/>
        </w:tabs>
        <w:spacing w:after="0"/>
        <w:rPr>
          <w:rFonts w:cs="Arial"/>
          <w:b/>
        </w:rPr>
      </w:pPr>
      <w:r w:rsidRPr="006427E4">
        <w:rPr>
          <w:rFonts w:cs="Arial"/>
          <w:b/>
        </w:rPr>
        <w:t>5.4 Ch</w:t>
      </w:r>
      <w:r w:rsidRPr="006427E4">
        <w:rPr>
          <w:rFonts w:cs="Arial"/>
          <w:b/>
        </w:rPr>
        <w:t>ildren's social care</w:t>
      </w:r>
    </w:p>
    <w:p w:rsidR="0046463C" w:rsidRPr="006427E4" w:rsidRDefault="00390D21" w:rsidP="0046463C">
      <w:pPr>
        <w:tabs>
          <w:tab w:val="left" w:pos="567"/>
          <w:tab w:val="left" w:pos="1134"/>
        </w:tabs>
        <w:spacing w:after="0"/>
        <w:rPr>
          <w:rFonts w:cs="Arial"/>
        </w:rPr>
      </w:pPr>
      <w:r w:rsidRPr="006427E4">
        <w:rPr>
          <w:rFonts w:cs="Arial"/>
        </w:rPr>
        <w:t>Children's social care demand levels are forecast to continue to increase, particularly within agency residential placements, agency fostering placements and also special guardianship orders. The rate of growth is quite volatile, and w</w:t>
      </w:r>
      <w:r w:rsidRPr="006427E4">
        <w:rPr>
          <w:rFonts w:cs="Arial"/>
        </w:rPr>
        <w:t>e will continue to monitor this as part of the monthly monitoring cycle.</w:t>
      </w:r>
    </w:p>
    <w:p w:rsidR="0046463C" w:rsidRPr="006427E4" w:rsidRDefault="00390D21" w:rsidP="0046463C">
      <w:pPr>
        <w:tabs>
          <w:tab w:val="left" w:pos="567"/>
          <w:tab w:val="left" w:pos="1134"/>
        </w:tabs>
        <w:spacing w:after="0"/>
        <w:rPr>
          <w:rFonts w:cs="Arial"/>
        </w:rPr>
      </w:pPr>
    </w:p>
    <w:p w:rsidR="0046463C" w:rsidRPr="006427E4" w:rsidRDefault="00390D21" w:rsidP="0046463C">
      <w:pPr>
        <w:spacing w:after="0"/>
        <w:rPr>
          <w:rFonts w:cs="Arial"/>
        </w:rPr>
      </w:pPr>
      <w:r w:rsidRPr="006427E4">
        <w:rPr>
          <w:rFonts w:cs="Arial"/>
        </w:rPr>
        <w:t>The service has been looking at best practice sites across the country to explore opportunities to reduce demand in a way that delivers better outcomes for children, We are working o</w:t>
      </w:r>
      <w:r w:rsidRPr="006427E4">
        <w:rPr>
          <w:rFonts w:cs="Arial"/>
        </w:rPr>
        <w:t>n adopting the Lancashire family safeguarding model in the current financial year, which will drive better outcomes for children, by focussing on early family based support, whilst also forecasting t</w:t>
      </w:r>
      <w:r>
        <w:rPr>
          <w:rFonts w:cs="Arial"/>
        </w:rPr>
        <w:t>o</w:t>
      </w:r>
      <w:r w:rsidRPr="006427E4">
        <w:rPr>
          <w:rFonts w:cs="Arial"/>
        </w:rPr>
        <w:t xml:space="preserve"> deliver a saving of c£12m per annum when the practice i</w:t>
      </w:r>
      <w:r w:rsidRPr="006427E4">
        <w:rPr>
          <w:rFonts w:cs="Arial"/>
        </w:rPr>
        <w:t xml:space="preserve">s fully embedded across the county. </w:t>
      </w:r>
    </w:p>
    <w:p w:rsidR="0046463C" w:rsidRPr="00A00E91" w:rsidRDefault="00390D21" w:rsidP="0046463C">
      <w:pPr>
        <w:tabs>
          <w:tab w:val="left" w:pos="567"/>
          <w:tab w:val="left" w:pos="1134"/>
        </w:tabs>
        <w:spacing w:after="0"/>
        <w:rPr>
          <w:rFonts w:cs="Arial"/>
        </w:rPr>
      </w:pPr>
    </w:p>
    <w:p w:rsidR="0046463C" w:rsidRDefault="00390D21" w:rsidP="0046463C">
      <w:pPr>
        <w:tabs>
          <w:tab w:val="left" w:pos="567"/>
          <w:tab w:val="left" w:pos="1134"/>
        </w:tabs>
        <w:spacing w:after="0"/>
        <w:rPr>
          <w:rFonts w:cs="Arial"/>
        </w:rPr>
      </w:pPr>
      <w:r w:rsidRPr="00A00E91">
        <w:rPr>
          <w:rFonts w:cs="Arial"/>
        </w:rPr>
        <w:t xml:space="preserve">In addition, the MTFS contains assumptions across services for funding growth, demand, inflation and pay levels. The table below shows the impact of and increase or decrease of 1% over these key elements of the </w:t>
      </w:r>
      <w:r w:rsidRPr="00A00E91">
        <w:rPr>
          <w:rFonts w:cs="Arial"/>
        </w:rPr>
        <w:t>projected budget requirement.</w:t>
      </w:r>
      <w:r w:rsidRPr="00DA0753">
        <w:rPr>
          <w:rFonts w:cs="Arial"/>
        </w:rPr>
        <w:t xml:space="preserve"> </w:t>
      </w:r>
    </w:p>
    <w:p w:rsidR="0046463C" w:rsidRDefault="00390D21" w:rsidP="0046463C">
      <w:pPr>
        <w:tabs>
          <w:tab w:val="left" w:pos="567"/>
          <w:tab w:val="left" w:pos="1134"/>
        </w:tabs>
        <w:spacing w:after="0"/>
        <w:rPr>
          <w:rFonts w:cs="Arial"/>
        </w:rPr>
      </w:pPr>
    </w:p>
    <w:tbl>
      <w:tblPr>
        <w:tblW w:w="0" w:type="auto"/>
        <w:tblCellMar>
          <w:left w:w="0" w:type="dxa"/>
          <w:right w:w="0" w:type="dxa"/>
        </w:tblCellMar>
        <w:tblLook w:val="04A0" w:firstRow="1" w:lastRow="0" w:firstColumn="1" w:lastColumn="0" w:noHBand="0" w:noVBand="1"/>
      </w:tblPr>
      <w:tblGrid>
        <w:gridCol w:w="5934"/>
        <w:gridCol w:w="3062"/>
      </w:tblGrid>
      <w:tr w:rsidR="00C3717D" w:rsidTr="0046463C">
        <w:tc>
          <w:tcPr>
            <w:tcW w:w="5948"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tcPr>
          <w:p w:rsidR="0046463C" w:rsidRPr="00BB0F7A" w:rsidRDefault="00390D21">
            <w:pPr>
              <w:rPr>
                <w:rFonts w:eastAsiaTheme="minorHAnsi" w:cs="Arial"/>
                <w:b/>
                <w:bCs/>
                <w:color w:val="auto"/>
                <w:lang w:eastAsia="en-GB"/>
              </w:rPr>
            </w:pPr>
          </w:p>
        </w:tc>
        <w:tc>
          <w:tcPr>
            <w:tcW w:w="3068" w:type="dxa"/>
            <w:tcBorders>
              <w:top w:val="single" w:sz="8" w:space="0" w:color="auto"/>
              <w:left w:val="nil"/>
              <w:bottom w:val="single" w:sz="8" w:space="0" w:color="auto"/>
              <w:right w:val="single" w:sz="12" w:space="0" w:color="auto"/>
            </w:tcBorders>
            <w:tcMar>
              <w:top w:w="0" w:type="dxa"/>
              <w:left w:w="108" w:type="dxa"/>
              <w:bottom w:w="0" w:type="dxa"/>
              <w:right w:w="108" w:type="dxa"/>
            </w:tcMar>
            <w:hideMark/>
          </w:tcPr>
          <w:p w:rsidR="0046463C" w:rsidRPr="00BB0F7A" w:rsidRDefault="00390D21">
            <w:pPr>
              <w:jc w:val="center"/>
              <w:rPr>
                <w:rFonts w:cs="Arial"/>
                <w:lang w:eastAsia="en-GB"/>
              </w:rPr>
            </w:pPr>
            <w:r w:rsidRPr="00BB0F7A">
              <w:rPr>
                <w:rFonts w:cs="Arial"/>
                <w:lang w:eastAsia="en-GB"/>
              </w:rPr>
              <w:t>Potential Full - Year Impact (£m)</w:t>
            </w:r>
          </w:p>
        </w:tc>
      </w:tr>
      <w:tr w:rsidR="00C3717D" w:rsidTr="0046463C">
        <w:tc>
          <w:tcPr>
            <w:tcW w:w="59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46463C" w:rsidRPr="00BB0F7A" w:rsidRDefault="00390D21">
            <w:pPr>
              <w:rPr>
                <w:rFonts w:cs="Arial"/>
                <w:lang w:eastAsia="en-GB"/>
              </w:rPr>
            </w:pPr>
            <w:r w:rsidRPr="00BB0F7A">
              <w:rPr>
                <w:rFonts w:cs="Arial"/>
                <w:lang w:eastAsia="en-GB"/>
              </w:rPr>
              <w:t>Funding - Council Tax (1%)</w:t>
            </w:r>
          </w:p>
        </w:tc>
        <w:tc>
          <w:tcPr>
            <w:tcW w:w="3068" w:type="dxa"/>
            <w:tcBorders>
              <w:top w:val="nil"/>
              <w:left w:val="nil"/>
              <w:bottom w:val="single" w:sz="8" w:space="0" w:color="auto"/>
              <w:right w:val="single" w:sz="12" w:space="0" w:color="auto"/>
            </w:tcBorders>
            <w:tcMar>
              <w:top w:w="0" w:type="dxa"/>
              <w:left w:w="108" w:type="dxa"/>
              <w:bottom w:w="0" w:type="dxa"/>
              <w:right w:w="108" w:type="dxa"/>
            </w:tcMar>
            <w:hideMark/>
          </w:tcPr>
          <w:p w:rsidR="0046463C" w:rsidRPr="00BB0F7A" w:rsidRDefault="00390D21">
            <w:pPr>
              <w:jc w:val="right"/>
              <w:rPr>
                <w:rFonts w:cs="Arial"/>
                <w:lang w:eastAsia="en-GB"/>
              </w:rPr>
            </w:pPr>
            <w:r w:rsidRPr="00BB0F7A">
              <w:rPr>
                <w:rFonts w:cs="Arial"/>
                <w:lang w:eastAsia="en-GB"/>
              </w:rPr>
              <w:t>+/- 5.145</w:t>
            </w:r>
          </w:p>
        </w:tc>
      </w:tr>
      <w:tr w:rsidR="00C3717D" w:rsidTr="0046463C">
        <w:tc>
          <w:tcPr>
            <w:tcW w:w="59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46463C" w:rsidRPr="00BB0F7A" w:rsidRDefault="00390D21">
            <w:pPr>
              <w:rPr>
                <w:rFonts w:cs="Arial"/>
                <w:lang w:eastAsia="en-GB"/>
              </w:rPr>
            </w:pPr>
            <w:r w:rsidRPr="00BB0F7A">
              <w:rPr>
                <w:rFonts w:cs="Arial"/>
                <w:lang w:eastAsia="en-GB"/>
              </w:rPr>
              <w:t>Pay (1%)</w:t>
            </w:r>
          </w:p>
        </w:tc>
        <w:tc>
          <w:tcPr>
            <w:tcW w:w="3068" w:type="dxa"/>
            <w:tcBorders>
              <w:top w:val="nil"/>
              <w:left w:val="nil"/>
              <w:bottom w:val="single" w:sz="8" w:space="0" w:color="auto"/>
              <w:right w:val="single" w:sz="12" w:space="0" w:color="auto"/>
            </w:tcBorders>
            <w:tcMar>
              <w:top w:w="0" w:type="dxa"/>
              <w:left w:w="108" w:type="dxa"/>
              <w:bottom w:w="0" w:type="dxa"/>
              <w:right w:w="108" w:type="dxa"/>
            </w:tcMar>
            <w:hideMark/>
          </w:tcPr>
          <w:p w:rsidR="0046463C" w:rsidRPr="00BB0F7A" w:rsidRDefault="00390D21">
            <w:pPr>
              <w:jc w:val="right"/>
              <w:rPr>
                <w:rFonts w:cs="Arial"/>
                <w:lang w:eastAsia="en-GB"/>
              </w:rPr>
            </w:pPr>
            <w:r w:rsidRPr="00BB0F7A">
              <w:rPr>
                <w:rFonts w:cs="Arial"/>
                <w:lang w:eastAsia="en-GB"/>
              </w:rPr>
              <w:t>+/- 2.945</w:t>
            </w:r>
          </w:p>
        </w:tc>
      </w:tr>
      <w:tr w:rsidR="00C3717D" w:rsidTr="0046463C">
        <w:tc>
          <w:tcPr>
            <w:tcW w:w="5948"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46463C" w:rsidRPr="00BB0F7A" w:rsidRDefault="00390D21">
            <w:pPr>
              <w:rPr>
                <w:rFonts w:cs="Arial"/>
                <w:lang w:eastAsia="en-GB"/>
              </w:rPr>
            </w:pPr>
            <w:r w:rsidRPr="00BB0F7A">
              <w:rPr>
                <w:rFonts w:cs="Arial"/>
                <w:lang w:eastAsia="en-GB"/>
              </w:rPr>
              <w:t>Price Inflation (1%)</w:t>
            </w:r>
          </w:p>
        </w:tc>
        <w:tc>
          <w:tcPr>
            <w:tcW w:w="3068" w:type="dxa"/>
            <w:tcBorders>
              <w:top w:val="nil"/>
              <w:left w:val="nil"/>
              <w:bottom w:val="single" w:sz="8" w:space="0" w:color="auto"/>
              <w:right w:val="single" w:sz="12" w:space="0" w:color="auto"/>
            </w:tcBorders>
            <w:tcMar>
              <w:top w:w="0" w:type="dxa"/>
              <w:left w:w="108" w:type="dxa"/>
              <w:bottom w:w="0" w:type="dxa"/>
              <w:right w:w="108" w:type="dxa"/>
            </w:tcMar>
            <w:hideMark/>
          </w:tcPr>
          <w:p w:rsidR="0046463C" w:rsidRPr="00BB0F7A" w:rsidRDefault="00390D21">
            <w:pPr>
              <w:jc w:val="right"/>
              <w:rPr>
                <w:rFonts w:cs="Arial"/>
                <w:lang w:eastAsia="en-GB"/>
              </w:rPr>
            </w:pPr>
            <w:r w:rsidRPr="00BB0F7A">
              <w:rPr>
                <w:rFonts w:cs="Arial"/>
                <w:lang w:eastAsia="en-GB"/>
              </w:rPr>
              <w:t>+/- 6.197</w:t>
            </w:r>
          </w:p>
        </w:tc>
      </w:tr>
      <w:tr w:rsidR="00C3717D" w:rsidTr="0046463C">
        <w:tc>
          <w:tcPr>
            <w:tcW w:w="5948"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46463C" w:rsidRPr="00BB0F7A" w:rsidRDefault="00390D21">
            <w:pPr>
              <w:rPr>
                <w:rFonts w:cs="Arial"/>
                <w:lang w:eastAsia="en-GB"/>
              </w:rPr>
            </w:pPr>
            <w:r w:rsidRPr="00BB0F7A">
              <w:rPr>
                <w:rFonts w:cs="Arial"/>
                <w:lang w:eastAsia="en-GB"/>
              </w:rPr>
              <w:t>Demand (1%)</w:t>
            </w:r>
          </w:p>
        </w:tc>
        <w:tc>
          <w:tcPr>
            <w:tcW w:w="3068" w:type="dxa"/>
            <w:tcBorders>
              <w:top w:val="nil"/>
              <w:left w:val="nil"/>
              <w:bottom w:val="single" w:sz="12" w:space="0" w:color="auto"/>
              <w:right w:val="single" w:sz="12" w:space="0" w:color="auto"/>
            </w:tcBorders>
            <w:tcMar>
              <w:top w:w="0" w:type="dxa"/>
              <w:left w:w="108" w:type="dxa"/>
              <w:bottom w:w="0" w:type="dxa"/>
              <w:right w:w="108" w:type="dxa"/>
            </w:tcMar>
            <w:hideMark/>
          </w:tcPr>
          <w:p w:rsidR="0046463C" w:rsidRPr="00BB0F7A" w:rsidRDefault="00390D21">
            <w:pPr>
              <w:jc w:val="right"/>
              <w:rPr>
                <w:rFonts w:cs="Arial"/>
                <w:lang w:eastAsia="en-GB"/>
              </w:rPr>
            </w:pPr>
            <w:r w:rsidRPr="00BB0F7A">
              <w:rPr>
                <w:rFonts w:cs="Arial"/>
                <w:lang w:eastAsia="en-GB"/>
              </w:rPr>
              <w:t>+/- 5.931</w:t>
            </w:r>
          </w:p>
        </w:tc>
      </w:tr>
    </w:tbl>
    <w:p w:rsidR="0046463C" w:rsidRPr="00A84087" w:rsidRDefault="00390D21" w:rsidP="0046463C">
      <w:pPr>
        <w:tabs>
          <w:tab w:val="left" w:pos="567"/>
          <w:tab w:val="left" w:pos="1134"/>
        </w:tabs>
        <w:spacing w:after="0"/>
        <w:rPr>
          <w:rFonts w:cs="Arial"/>
        </w:rPr>
      </w:pPr>
      <w:r w:rsidRPr="00A00E91">
        <w:rPr>
          <w:rFonts w:cs="Arial"/>
        </w:rPr>
        <w:lastRenderedPageBreak/>
        <w:t xml:space="preserve">This stress testing gives confidence that the council can continue to live </w:t>
      </w:r>
      <w:r w:rsidRPr="00A00E91">
        <w:rPr>
          <w:rFonts w:cs="Arial"/>
        </w:rPr>
        <w:t>within its means for the next two years in adverse circumstances. This does not however diminish or negate the need to make further savings but does demonstrate that the council continues to have sufficient resilience to deliver them in a measured and stru</w:t>
      </w:r>
      <w:r w:rsidRPr="00A00E91">
        <w:rPr>
          <w:rFonts w:cs="Arial"/>
        </w:rPr>
        <w:t>ctured way.</w:t>
      </w:r>
    </w:p>
    <w:sectPr w:rsidR="0046463C" w:rsidRPr="00A84087" w:rsidSect="0046463C">
      <w:pgSz w:w="11906" w:h="16838"/>
      <w:pgMar w:top="1276"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90D21">
      <w:pPr>
        <w:spacing w:after="0"/>
      </w:pPr>
      <w:r>
        <w:separator/>
      </w:r>
    </w:p>
  </w:endnote>
  <w:endnote w:type="continuationSeparator" w:id="0">
    <w:p w:rsidR="00000000" w:rsidRDefault="00390D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829511"/>
      <w:docPartObj>
        <w:docPartGallery w:val="Page Numbers (Bottom of Page)"/>
        <w:docPartUnique/>
      </w:docPartObj>
    </w:sdtPr>
    <w:sdtEndPr>
      <w:rPr>
        <w:noProof/>
      </w:rPr>
    </w:sdtEndPr>
    <w:sdtContent>
      <w:p w:rsidR="0046463C" w:rsidRDefault="00390D21" w:rsidP="004646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6463C" w:rsidRDefault="00390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90D21">
      <w:pPr>
        <w:spacing w:after="0"/>
      </w:pPr>
      <w:r>
        <w:separator/>
      </w:r>
    </w:p>
  </w:footnote>
  <w:footnote w:type="continuationSeparator" w:id="0">
    <w:p w:rsidR="00000000" w:rsidRDefault="00390D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63C" w:rsidRDefault="00390D21">
    <w:pPr>
      <w:pStyle w:val="Header"/>
    </w:pPr>
    <w:sdt>
      <w:sdtPr>
        <w:id w:val="-206308998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46463C" w:rsidRDefault="00390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63C" w:rsidRDefault="00390D21" w:rsidP="0046463C">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-714375</wp:posOffset>
          </wp:positionV>
          <wp:extent cx="7564755" cy="10689590"/>
          <wp:effectExtent l="0" t="0" r="0" b="0"/>
          <wp:wrapNone/>
          <wp:docPr id="2" name="Picture 2"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79054" name="Picture 1" descr="5085 Report Fro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6BB5AB2"/>
    <w:multiLevelType w:val="hybridMultilevel"/>
    <w:tmpl w:val="432A1498"/>
    <w:lvl w:ilvl="0" w:tplc="0114BBAA">
      <w:start w:val="1"/>
      <w:numFmt w:val="bullet"/>
      <w:lvlText w:val="o"/>
      <w:lvlJc w:val="left"/>
      <w:pPr>
        <w:ind w:left="1222" w:hanging="360"/>
      </w:pPr>
      <w:rPr>
        <w:rFonts w:ascii="Courier New" w:hAnsi="Courier New" w:cs="Courier New" w:hint="default"/>
      </w:rPr>
    </w:lvl>
    <w:lvl w:ilvl="1" w:tplc="F9C236EC" w:tentative="1">
      <w:start w:val="1"/>
      <w:numFmt w:val="bullet"/>
      <w:lvlText w:val="o"/>
      <w:lvlJc w:val="left"/>
      <w:pPr>
        <w:ind w:left="1942" w:hanging="360"/>
      </w:pPr>
      <w:rPr>
        <w:rFonts w:ascii="Courier New" w:hAnsi="Courier New" w:cs="Courier New" w:hint="default"/>
      </w:rPr>
    </w:lvl>
    <w:lvl w:ilvl="2" w:tplc="69426224" w:tentative="1">
      <w:start w:val="1"/>
      <w:numFmt w:val="bullet"/>
      <w:lvlText w:val=""/>
      <w:lvlJc w:val="left"/>
      <w:pPr>
        <w:ind w:left="2662" w:hanging="360"/>
      </w:pPr>
      <w:rPr>
        <w:rFonts w:ascii="Wingdings" w:hAnsi="Wingdings" w:hint="default"/>
      </w:rPr>
    </w:lvl>
    <w:lvl w:ilvl="3" w:tplc="9DC2BA8A" w:tentative="1">
      <w:start w:val="1"/>
      <w:numFmt w:val="bullet"/>
      <w:lvlText w:val=""/>
      <w:lvlJc w:val="left"/>
      <w:pPr>
        <w:ind w:left="3382" w:hanging="360"/>
      </w:pPr>
      <w:rPr>
        <w:rFonts w:ascii="Symbol" w:hAnsi="Symbol" w:hint="default"/>
      </w:rPr>
    </w:lvl>
    <w:lvl w:ilvl="4" w:tplc="EF50675C" w:tentative="1">
      <w:start w:val="1"/>
      <w:numFmt w:val="bullet"/>
      <w:lvlText w:val="o"/>
      <w:lvlJc w:val="left"/>
      <w:pPr>
        <w:ind w:left="4102" w:hanging="360"/>
      </w:pPr>
      <w:rPr>
        <w:rFonts w:ascii="Courier New" w:hAnsi="Courier New" w:cs="Courier New" w:hint="default"/>
      </w:rPr>
    </w:lvl>
    <w:lvl w:ilvl="5" w:tplc="C6A668BA" w:tentative="1">
      <w:start w:val="1"/>
      <w:numFmt w:val="bullet"/>
      <w:lvlText w:val=""/>
      <w:lvlJc w:val="left"/>
      <w:pPr>
        <w:ind w:left="4822" w:hanging="360"/>
      </w:pPr>
      <w:rPr>
        <w:rFonts w:ascii="Wingdings" w:hAnsi="Wingdings" w:hint="default"/>
      </w:rPr>
    </w:lvl>
    <w:lvl w:ilvl="6" w:tplc="FDD67E34" w:tentative="1">
      <w:start w:val="1"/>
      <w:numFmt w:val="bullet"/>
      <w:lvlText w:val=""/>
      <w:lvlJc w:val="left"/>
      <w:pPr>
        <w:ind w:left="5542" w:hanging="360"/>
      </w:pPr>
      <w:rPr>
        <w:rFonts w:ascii="Symbol" w:hAnsi="Symbol" w:hint="default"/>
      </w:rPr>
    </w:lvl>
    <w:lvl w:ilvl="7" w:tplc="FCAC2012" w:tentative="1">
      <w:start w:val="1"/>
      <w:numFmt w:val="bullet"/>
      <w:lvlText w:val="o"/>
      <w:lvlJc w:val="left"/>
      <w:pPr>
        <w:ind w:left="6262" w:hanging="360"/>
      </w:pPr>
      <w:rPr>
        <w:rFonts w:ascii="Courier New" w:hAnsi="Courier New" w:cs="Courier New" w:hint="default"/>
      </w:rPr>
    </w:lvl>
    <w:lvl w:ilvl="8" w:tplc="A6A8FEEA" w:tentative="1">
      <w:start w:val="1"/>
      <w:numFmt w:val="bullet"/>
      <w:lvlText w:val=""/>
      <w:lvlJc w:val="left"/>
      <w:pPr>
        <w:ind w:left="6982" w:hanging="360"/>
      </w:pPr>
      <w:rPr>
        <w:rFonts w:ascii="Wingdings" w:hAnsi="Wingdings" w:hint="default"/>
      </w:rPr>
    </w:lvl>
  </w:abstractNum>
  <w:abstractNum w:abstractNumId="21" w15:restartNumberingAfterBreak="0">
    <w:nsid w:val="073E17C5"/>
    <w:multiLevelType w:val="multilevel"/>
    <w:tmpl w:val="0D92F4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0F306A44"/>
    <w:multiLevelType w:val="hybridMultilevel"/>
    <w:tmpl w:val="DCA42620"/>
    <w:lvl w:ilvl="0" w:tplc="91165D0A">
      <w:numFmt w:val="bullet"/>
      <w:lvlText w:val="-"/>
      <w:lvlJc w:val="left"/>
      <w:pPr>
        <w:ind w:left="644" w:hanging="360"/>
      </w:pPr>
      <w:rPr>
        <w:rFonts w:ascii="Arial" w:eastAsia="Calibri" w:hAnsi="Arial" w:cs="Arial" w:hint="default"/>
      </w:rPr>
    </w:lvl>
    <w:lvl w:ilvl="1" w:tplc="C812E7AE" w:tentative="1">
      <w:start w:val="1"/>
      <w:numFmt w:val="bullet"/>
      <w:lvlText w:val="o"/>
      <w:lvlJc w:val="left"/>
      <w:pPr>
        <w:ind w:left="1440" w:hanging="360"/>
      </w:pPr>
      <w:rPr>
        <w:rFonts w:ascii="Courier New" w:hAnsi="Courier New" w:cs="Courier New" w:hint="default"/>
      </w:rPr>
    </w:lvl>
    <w:lvl w:ilvl="2" w:tplc="899A5296" w:tentative="1">
      <w:start w:val="1"/>
      <w:numFmt w:val="bullet"/>
      <w:lvlText w:val=""/>
      <w:lvlJc w:val="left"/>
      <w:pPr>
        <w:ind w:left="2160" w:hanging="360"/>
      </w:pPr>
      <w:rPr>
        <w:rFonts w:ascii="Wingdings" w:hAnsi="Wingdings" w:hint="default"/>
      </w:rPr>
    </w:lvl>
    <w:lvl w:ilvl="3" w:tplc="A31C1030" w:tentative="1">
      <w:start w:val="1"/>
      <w:numFmt w:val="bullet"/>
      <w:lvlText w:val=""/>
      <w:lvlJc w:val="left"/>
      <w:pPr>
        <w:ind w:left="2880" w:hanging="360"/>
      </w:pPr>
      <w:rPr>
        <w:rFonts w:ascii="Symbol" w:hAnsi="Symbol" w:hint="default"/>
      </w:rPr>
    </w:lvl>
    <w:lvl w:ilvl="4" w:tplc="6C2A265C" w:tentative="1">
      <w:start w:val="1"/>
      <w:numFmt w:val="bullet"/>
      <w:lvlText w:val="o"/>
      <w:lvlJc w:val="left"/>
      <w:pPr>
        <w:ind w:left="3600" w:hanging="360"/>
      </w:pPr>
      <w:rPr>
        <w:rFonts w:ascii="Courier New" w:hAnsi="Courier New" w:cs="Courier New" w:hint="default"/>
      </w:rPr>
    </w:lvl>
    <w:lvl w:ilvl="5" w:tplc="E62CB6B4" w:tentative="1">
      <w:start w:val="1"/>
      <w:numFmt w:val="bullet"/>
      <w:lvlText w:val=""/>
      <w:lvlJc w:val="left"/>
      <w:pPr>
        <w:ind w:left="4320" w:hanging="360"/>
      </w:pPr>
      <w:rPr>
        <w:rFonts w:ascii="Wingdings" w:hAnsi="Wingdings" w:hint="default"/>
      </w:rPr>
    </w:lvl>
    <w:lvl w:ilvl="6" w:tplc="A8542156" w:tentative="1">
      <w:start w:val="1"/>
      <w:numFmt w:val="bullet"/>
      <w:lvlText w:val=""/>
      <w:lvlJc w:val="left"/>
      <w:pPr>
        <w:ind w:left="5040" w:hanging="360"/>
      </w:pPr>
      <w:rPr>
        <w:rFonts w:ascii="Symbol" w:hAnsi="Symbol" w:hint="default"/>
      </w:rPr>
    </w:lvl>
    <w:lvl w:ilvl="7" w:tplc="3BE4129C" w:tentative="1">
      <w:start w:val="1"/>
      <w:numFmt w:val="bullet"/>
      <w:lvlText w:val="o"/>
      <w:lvlJc w:val="left"/>
      <w:pPr>
        <w:ind w:left="5760" w:hanging="360"/>
      </w:pPr>
      <w:rPr>
        <w:rFonts w:ascii="Courier New" w:hAnsi="Courier New" w:cs="Courier New" w:hint="default"/>
      </w:rPr>
    </w:lvl>
    <w:lvl w:ilvl="8" w:tplc="458C6B6E" w:tentative="1">
      <w:start w:val="1"/>
      <w:numFmt w:val="bullet"/>
      <w:lvlText w:val=""/>
      <w:lvlJc w:val="left"/>
      <w:pPr>
        <w:ind w:left="6480" w:hanging="360"/>
      </w:pPr>
      <w:rPr>
        <w:rFonts w:ascii="Wingdings" w:hAnsi="Wingdings" w:hint="default"/>
      </w:rPr>
    </w:lvl>
  </w:abstractNum>
  <w:abstractNum w:abstractNumId="23" w15:restartNumberingAfterBreak="0">
    <w:nsid w:val="10C3370D"/>
    <w:multiLevelType w:val="multilevel"/>
    <w:tmpl w:val="7E74B6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7AF4DEE"/>
    <w:multiLevelType w:val="hybridMultilevel"/>
    <w:tmpl w:val="D54672F6"/>
    <w:lvl w:ilvl="0" w:tplc="F4FE7DAE">
      <w:start w:val="1"/>
      <w:numFmt w:val="bullet"/>
      <w:lvlText w:val=""/>
      <w:lvlJc w:val="left"/>
      <w:pPr>
        <w:ind w:left="720" w:hanging="360"/>
      </w:pPr>
      <w:rPr>
        <w:rFonts w:ascii="Symbol" w:hAnsi="Symbol" w:hint="default"/>
      </w:rPr>
    </w:lvl>
    <w:lvl w:ilvl="1" w:tplc="18F021C0" w:tentative="1">
      <w:start w:val="1"/>
      <w:numFmt w:val="bullet"/>
      <w:lvlText w:val="o"/>
      <w:lvlJc w:val="left"/>
      <w:pPr>
        <w:ind w:left="1440" w:hanging="360"/>
      </w:pPr>
      <w:rPr>
        <w:rFonts w:ascii="Courier New" w:hAnsi="Courier New" w:cs="Courier New" w:hint="default"/>
      </w:rPr>
    </w:lvl>
    <w:lvl w:ilvl="2" w:tplc="2536F92E" w:tentative="1">
      <w:start w:val="1"/>
      <w:numFmt w:val="bullet"/>
      <w:lvlText w:val=""/>
      <w:lvlJc w:val="left"/>
      <w:pPr>
        <w:ind w:left="2160" w:hanging="360"/>
      </w:pPr>
      <w:rPr>
        <w:rFonts w:ascii="Wingdings" w:hAnsi="Wingdings" w:hint="default"/>
      </w:rPr>
    </w:lvl>
    <w:lvl w:ilvl="3" w:tplc="1D742EF2" w:tentative="1">
      <w:start w:val="1"/>
      <w:numFmt w:val="bullet"/>
      <w:lvlText w:val=""/>
      <w:lvlJc w:val="left"/>
      <w:pPr>
        <w:ind w:left="2880" w:hanging="360"/>
      </w:pPr>
      <w:rPr>
        <w:rFonts w:ascii="Symbol" w:hAnsi="Symbol" w:hint="default"/>
      </w:rPr>
    </w:lvl>
    <w:lvl w:ilvl="4" w:tplc="571EB698" w:tentative="1">
      <w:start w:val="1"/>
      <w:numFmt w:val="bullet"/>
      <w:lvlText w:val="o"/>
      <w:lvlJc w:val="left"/>
      <w:pPr>
        <w:ind w:left="3600" w:hanging="360"/>
      </w:pPr>
      <w:rPr>
        <w:rFonts w:ascii="Courier New" w:hAnsi="Courier New" w:cs="Courier New" w:hint="default"/>
      </w:rPr>
    </w:lvl>
    <w:lvl w:ilvl="5" w:tplc="80D62C3C" w:tentative="1">
      <w:start w:val="1"/>
      <w:numFmt w:val="bullet"/>
      <w:lvlText w:val=""/>
      <w:lvlJc w:val="left"/>
      <w:pPr>
        <w:ind w:left="4320" w:hanging="360"/>
      </w:pPr>
      <w:rPr>
        <w:rFonts w:ascii="Wingdings" w:hAnsi="Wingdings" w:hint="default"/>
      </w:rPr>
    </w:lvl>
    <w:lvl w:ilvl="6" w:tplc="87D6A6D4" w:tentative="1">
      <w:start w:val="1"/>
      <w:numFmt w:val="bullet"/>
      <w:lvlText w:val=""/>
      <w:lvlJc w:val="left"/>
      <w:pPr>
        <w:ind w:left="5040" w:hanging="360"/>
      </w:pPr>
      <w:rPr>
        <w:rFonts w:ascii="Symbol" w:hAnsi="Symbol" w:hint="default"/>
      </w:rPr>
    </w:lvl>
    <w:lvl w:ilvl="7" w:tplc="994EAA2E" w:tentative="1">
      <w:start w:val="1"/>
      <w:numFmt w:val="bullet"/>
      <w:lvlText w:val="o"/>
      <w:lvlJc w:val="left"/>
      <w:pPr>
        <w:ind w:left="5760" w:hanging="360"/>
      </w:pPr>
      <w:rPr>
        <w:rFonts w:ascii="Courier New" w:hAnsi="Courier New" w:cs="Courier New" w:hint="default"/>
      </w:rPr>
    </w:lvl>
    <w:lvl w:ilvl="8" w:tplc="1BC0F658" w:tentative="1">
      <w:start w:val="1"/>
      <w:numFmt w:val="bullet"/>
      <w:lvlText w:val=""/>
      <w:lvlJc w:val="left"/>
      <w:pPr>
        <w:ind w:left="6480" w:hanging="360"/>
      </w:pPr>
      <w:rPr>
        <w:rFonts w:ascii="Wingdings" w:hAnsi="Wingdings" w:hint="default"/>
      </w:rPr>
    </w:lvl>
  </w:abstractNum>
  <w:abstractNum w:abstractNumId="25" w15:restartNumberingAfterBreak="0">
    <w:nsid w:val="20117501"/>
    <w:multiLevelType w:val="hybridMultilevel"/>
    <w:tmpl w:val="EF2869F6"/>
    <w:lvl w:ilvl="0" w:tplc="EF8EC43E">
      <w:start w:val="1"/>
      <w:numFmt w:val="decimal"/>
      <w:lvlText w:val="%1."/>
      <w:lvlJc w:val="left"/>
      <w:pPr>
        <w:ind w:left="720" w:hanging="360"/>
      </w:pPr>
    </w:lvl>
    <w:lvl w:ilvl="1" w:tplc="1B969A76" w:tentative="1">
      <w:start w:val="1"/>
      <w:numFmt w:val="lowerLetter"/>
      <w:lvlText w:val="%2."/>
      <w:lvlJc w:val="left"/>
      <w:pPr>
        <w:ind w:left="1440" w:hanging="360"/>
      </w:pPr>
    </w:lvl>
    <w:lvl w:ilvl="2" w:tplc="196A6A9C" w:tentative="1">
      <w:start w:val="1"/>
      <w:numFmt w:val="lowerRoman"/>
      <w:lvlText w:val="%3."/>
      <w:lvlJc w:val="right"/>
      <w:pPr>
        <w:ind w:left="2160" w:hanging="180"/>
      </w:pPr>
    </w:lvl>
    <w:lvl w:ilvl="3" w:tplc="710683E4" w:tentative="1">
      <w:start w:val="1"/>
      <w:numFmt w:val="decimal"/>
      <w:lvlText w:val="%4."/>
      <w:lvlJc w:val="left"/>
      <w:pPr>
        <w:ind w:left="2880" w:hanging="360"/>
      </w:pPr>
    </w:lvl>
    <w:lvl w:ilvl="4" w:tplc="4338272E" w:tentative="1">
      <w:start w:val="1"/>
      <w:numFmt w:val="lowerLetter"/>
      <w:lvlText w:val="%5."/>
      <w:lvlJc w:val="left"/>
      <w:pPr>
        <w:ind w:left="3600" w:hanging="360"/>
      </w:pPr>
    </w:lvl>
    <w:lvl w:ilvl="5" w:tplc="918AE892" w:tentative="1">
      <w:start w:val="1"/>
      <w:numFmt w:val="lowerRoman"/>
      <w:lvlText w:val="%6."/>
      <w:lvlJc w:val="right"/>
      <w:pPr>
        <w:ind w:left="4320" w:hanging="180"/>
      </w:pPr>
    </w:lvl>
    <w:lvl w:ilvl="6" w:tplc="C4D46C62" w:tentative="1">
      <w:start w:val="1"/>
      <w:numFmt w:val="decimal"/>
      <w:lvlText w:val="%7."/>
      <w:lvlJc w:val="left"/>
      <w:pPr>
        <w:ind w:left="5040" w:hanging="360"/>
      </w:pPr>
    </w:lvl>
    <w:lvl w:ilvl="7" w:tplc="7C36BF18" w:tentative="1">
      <w:start w:val="1"/>
      <w:numFmt w:val="lowerLetter"/>
      <w:lvlText w:val="%8."/>
      <w:lvlJc w:val="left"/>
      <w:pPr>
        <w:ind w:left="5760" w:hanging="360"/>
      </w:pPr>
    </w:lvl>
    <w:lvl w:ilvl="8" w:tplc="95AC4BB8" w:tentative="1">
      <w:start w:val="1"/>
      <w:numFmt w:val="lowerRoman"/>
      <w:lvlText w:val="%9."/>
      <w:lvlJc w:val="right"/>
      <w:pPr>
        <w:ind w:left="6480" w:hanging="180"/>
      </w:pPr>
    </w:lvl>
  </w:abstractNum>
  <w:abstractNum w:abstractNumId="26" w15:restartNumberingAfterBreak="0">
    <w:nsid w:val="2095304B"/>
    <w:multiLevelType w:val="hybridMultilevel"/>
    <w:tmpl w:val="F63C004C"/>
    <w:lvl w:ilvl="0" w:tplc="A6D85BF6">
      <w:start w:val="1"/>
      <w:numFmt w:val="bullet"/>
      <w:lvlText w:val="o"/>
      <w:lvlJc w:val="left"/>
      <w:pPr>
        <w:ind w:left="501" w:hanging="360"/>
      </w:pPr>
      <w:rPr>
        <w:rFonts w:ascii="Courier New" w:hAnsi="Courier New" w:cs="Courier New" w:hint="default"/>
      </w:rPr>
    </w:lvl>
    <w:lvl w:ilvl="1" w:tplc="7E529502" w:tentative="1">
      <w:start w:val="1"/>
      <w:numFmt w:val="bullet"/>
      <w:lvlText w:val="o"/>
      <w:lvlJc w:val="left"/>
      <w:pPr>
        <w:ind w:left="1440" w:hanging="360"/>
      </w:pPr>
      <w:rPr>
        <w:rFonts w:ascii="Courier New" w:hAnsi="Courier New" w:cs="Courier New" w:hint="default"/>
      </w:rPr>
    </w:lvl>
    <w:lvl w:ilvl="2" w:tplc="EB40A736" w:tentative="1">
      <w:start w:val="1"/>
      <w:numFmt w:val="bullet"/>
      <w:lvlText w:val=""/>
      <w:lvlJc w:val="left"/>
      <w:pPr>
        <w:ind w:left="2160" w:hanging="360"/>
      </w:pPr>
      <w:rPr>
        <w:rFonts w:ascii="Wingdings" w:hAnsi="Wingdings" w:hint="default"/>
      </w:rPr>
    </w:lvl>
    <w:lvl w:ilvl="3" w:tplc="52D8B1AC" w:tentative="1">
      <w:start w:val="1"/>
      <w:numFmt w:val="bullet"/>
      <w:lvlText w:val=""/>
      <w:lvlJc w:val="left"/>
      <w:pPr>
        <w:ind w:left="2880" w:hanging="360"/>
      </w:pPr>
      <w:rPr>
        <w:rFonts w:ascii="Symbol" w:hAnsi="Symbol" w:hint="default"/>
      </w:rPr>
    </w:lvl>
    <w:lvl w:ilvl="4" w:tplc="C90A0444" w:tentative="1">
      <w:start w:val="1"/>
      <w:numFmt w:val="bullet"/>
      <w:lvlText w:val="o"/>
      <w:lvlJc w:val="left"/>
      <w:pPr>
        <w:ind w:left="3600" w:hanging="360"/>
      </w:pPr>
      <w:rPr>
        <w:rFonts w:ascii="Courier New" w:hAnsi="Courier New" w:cs="Courier New" w:hint="default"/>
      </w:rPr>
    </w:lvl>
    <w:lvl w:ilvl="5" w:tplc="19CC03CA" w:tentative="1">
      <w:start w:val="1"/>
      <w:numFmt w:val="bullet"/>
      <w:lvlText w:val=""/>
      <w:lvlJc w:val="left"/>
      <w:pPr>
        <w:ind w:left="4320" w:hanging="360"/>
      </w:pPr>
      <w:rPr>
        <w:rFonts w:ascii="Wingdings" w:hAnsi="Wingdings" w:hint="default"/>
      </w:rPr>
    </w:lvl>
    <w:lvl w:ilvl="6" w:tplc="BC464650" w:tentative="1">
      <w:start w:val="1"/>
      <w:numFmt w:val="bullet"/>
      <w:lvlText w:val=""/>
      <w:lvlJc w:val="left"/>
      <w:pPr>
        <w:ind w:left="5040" w:hanging="360"/>
      </w:pPr>
      <w:rPr>
        <w:rFonts w:ascii="Symbol" w:hAnsi="Symbol" w:hint="default"/>
      </w:rPr>
    </w:lvl>
    <w:lvl w:ilvl="7" w:tplc="FC3C436E" w:tentative="1">
      <w:start w:val="1"/>
      <w:numFmt w:val="bullet"/>
      <w:lvlText w:val="o"/>
      <w:lvlJc w:val="left"/>
      <w:pPr>
        <w:ind w:left="5760" w:hanging="360"/>
      </w:pPr>
      <w:rPr>
        <w:rFonts w:ascii="Courier New" w:hAnsi="Courier New" w:cs="Courier New" w:hint="default"/>
      </w:rPr>
    </w:lvl>
    <w:lvl w:ilvl="8" w:tplc="5D90FB5C" w:tentative="1">
      <w:start w:val="1"/>
      <w:numFmt w:val="bullet"/>
      <w:lvlText w:val=""/>
      <w:lvlJc w:val="left"/>
      <w:pPr>
        <w:ind w:left="6480" w:hanging="360"/>
      </w:pPr>
      <w:rPr>
        <w:rFonts w:ascii="Wingdings" w:hAnsi="Wingdings" w:hint="default"/>
      </w:rPr>
    </w:lvl>
  </w:abstractNum>
  <w:abstractNum w:abstractNumId="27" w15:restartNumberingAfterBreak="0">
    <w:nsid w:val="32DE378D"/>
    <w:multiLevelType w:val="hybridMultilevel"/>
    <w:tmpl w:val="669255CA"/>
    <w:lvl w:ilvl="0" w:tplc="03A2962A">
      <w:start w:val="1"/>
      <w:numFmt w:val="bullet"/>
      <w:pStyle w:val="Bullet"/>
      <w:lvlText w:val=""/>
      <w:lvlJc w:val="left"/>
      <w:pPr>
        <w:ind w:left="363" w:hanging="360"/>
      </w:pPr>
      <w:rPr>
        <w:rFonts w:ascii="Symbol" w:hAnsi="Symbol" w:hint="default"/>
      </w:rPr>
    </w:lvl>
    <w:lvl w:ilvl="1" w:tplc="49081448">
      <w:start w:val="1"/>
      <w:numFmt w:val="bullet"/>
      <w:pStyle w:val="Bullet-indent"/>
      <w:lvlText w:val="o"/>
      <w:lvlJc w:val="left"/>
      <w:pPr>
        <w:ind w:left="1083" w:hanging="360"/>
      </w:pPr>
      <w:rPr>
        <w:rFonts w:ascii="Courier New" w:hAnsi="Courier New" w:cs="Courier New" w:hint="default"/>
      </w:rPr>
    </w:lvl>
    <w:lvl w:ilvl="2" w:tplc="5DA4CD6C" w:tentative="1">
      <w:start w:val="1"/>
      <w:numFmt w:val="bullet"/>
      <w:lvlText w:val=""/>
      <w:lvlJc w:val="left"/>
      <w:pPr>
        <w:ind w:left="1803" w:hanging="360"/>
      </w:pPr>
      <w:rPr>
        <w:rFonts w:ascii="Wingdings" w:hAnsi="Wingdings" w:hint="default"/>
      </w:rPr>
    </w:lvl>
    <w:lvl w:ilvl="3" w:tplc="2D8EE5CC" w:tentative="1">
      <w:start w:val="1"/>
      <w:numFmt w:val="bullet"/>
      <w:lvlText w:val=""/>
      <w:lvlJc w:val="left"/>
      <w:pPr>
        <w:ind w:left="2523" w:hanging="360"/>
      </w:pPr>
      <w:rPr>
        <w:rFonts w:ascii="Symbol" w:hAnsi="Symbol" w:hint="default"/>
      </w:rPr>
    </w:lvl>
    <w:lvl w:ilvl="4" w:tplc="40962E86" w:tentative="1">
      <w:start w:val="1"/>
      <w:numFmt w:val="bullet"/>
      <w:lvlText w:val="o"/>
      <w:lvlJc w:val="left"/>
      <w:pPr>
        <w:ind w:left="3243" w:hanging="360"/>
      </w:pPr>
      <w:rPr>
        <w:rFonts w:ascii="Courier New" w:hAnsi="Courier New" w:cs="Courier New" w:hint="default"/>
      </w:rPr>
    </w:lvl>
    <w:lvl w:ilvl="5" w:tplc="2932AB96" w:tentative="1">
      <w:start w:val="1"/>
      <w:numFmt w:val="bullet"/>
      <w:lvlText w:val=""/>
      <w:lvlJc w:val="left"/>
      <w:pPr>
        <w:ind w:left="3963" w:hanging="360"/>
      </w:pPr>
      <w:rPr>
        <w:rFonts w:ascii="Wingdings" w:hAnsi="Wingdings" w:hint="default"/>
      </w:rPr>
    </w:lvl>
    <w:lvl w:ilvl="6" w:tplc="09484D66" w:tentative="1">
      <w:start w:val="1"/>
      <w:numFmt w:val="bullet"/>
      <w:lvlText w:val=""/>
      <w:lvlJc w:val="left"/>
      <w:pPr>
        <w:ind w:left="4683" w:hanging="360"/>
      </w:pPr>
      <w:rPr>
        <w:rFonts w:ascii="Symbol" w:hAnsi="Symbol" w:hint="default"/>
      </w:rPr>
    </w:lvl>
    <w:lvl w:ilvl="7" w:tplc="A2C02F6A" w:tentative="1">
      <w:start w:val="1"/>
      <w:numFmt w:val="bullet"/>
      <w:lvlText w:val="o"/>
      <w:lvlJc w:val="left"/>
      <w:pPr>
        <w:ind w:left="5403" w:hanging="360"/>
      </w:pPr>
      <w:rPr>
        <w:rFonts w:ascii="Courier New" w:hAnsi="Courier New" w:cs="Courier New" w:hint="default"/>
      </w:rPr>
    </w:lvl>
    <w:lvl w:ilvl="8" w:tplc="7FBCB808" w:tentative="1">
      <w:start w:val="1"/>
      <w:numFmt w:val="bullet"/>
      <w:lvlText w:val=""/>
      <w:lvlJc w:val="left"/>
      <w:pPr>
        <w:ind w:left="6123" w:hanging="360"/>
      </w:pPr>
      <w:rPr>
        <w:rFonts w:ascii="Wingdings" w:hAnsi="Wingdings" w:hint="default"/>
      </w:rPr>
    </w:lvl>
  </w:abstractNum>
  <w:abstractNum w:abstractNumId="28" w15:restartNumberingAfterBreak="0">
    <w:nsid w:val="338E1B06"/>
    <w:multiLevelType w:val="hybridMultilevel"/>
    <w:tmpl w:val="C8C6DC48"/>
    <w:lvl w:ilvl="0" w:tplc="46ACA0A2">
      <w:start w:val="1"/>
      <w:numFmt w:val="bullet"/>
      <w:lvlText w:val=""/>
      <w:lvlJc w:val="left"/>
      <w:pPr>
        <w:ind w:left="720" w:hanging="360"/>
      </w:pPr>
      <w:rPr>
        <w:rFonts w:ascii="Symbol" w:hAnsi="Symbol" w:hint="default"/>
      </w:rPr>
    </w:lvl>
    <w:lvl w:ilvl="1" w:tplc="E50477EE" w:tentative="1">
      <w:start w:val="1"/>
      <w:numFmt w:val="bullet"/>
      <w:lvlText w:val="o"/>
      <w:lvlJc w:val="left"/>
      <w:pPr>
        <w:ind w:left="1440" w:hanging="360"/>
      </w:pPr>
      <w:rPr>
        <w:rFonts w:ascii="Courier New" w:hAnsi="Courier New" w:cs="Courier New" w:hint="default"/>
      </w:rPr>
    </w:lvl>
    <w:lvl w:ilvl="2" w:tplc="661A4E36" w:tentative="1">
      <w:start w:val="1"/>
      <w:numFmt w:val="bullet"/>
      <w:lvlText w:val=""/>
      <w:lvlJc w:val="left"/>
      <w:pPr>
        <w:ind w:left="2160" w:hanging="360"/>
      </w:pPr>
      <w:rPr>
        <w:rFonts w:ascii="Wingdings" w:hAnsi="Wingdings" w:hint="default"/>
      </w:rPr>
    </w:lvl>
    <w:lvl w:ilvl="3" w:tplc="BC045C64" w:tentative="1">
      <w:start w:val="1"/>
      <w:numFmt w:val="bullet"/>
      <w:lvlText w:val=""/>
      <w:lvlJc w:val="left"/>
      <w:pPr>
        <w:ind w:left="2880" w:hanging="360"/>
      </w:pPr>
      <w:rPr>
        <w:rFonts w:ascii="Symbol" w:hAnsi="Symbol" w:hint="default"/>
      </w:rPr>
    </w:lvl>
    <w:lvl w:ilvl="4" w:tplc="02D64A42" w:tentative="1">
      <w:start w:val="1"/>
      <w:numFmt w:val="bullet"/>
      <w:lvlText w:val="o"/>
      <w:lvlJc w:val="left"/>
      <w:pPr>
        <w:ind w:left="3600" w:hanging="360"/>
      </w:pPr>
      <w:rPr>
        <w:rFonts w:ascii="Courier New" w:hAnsi="Courier New" w:cs="Courier New" w:hint="default"/>
      </w:rPr>
    </w:lvl>
    <w:lvl w:ilvl="5" w:tplc="5B5C3C14" w:tentative="1">
      <w:start w:val="1"/>
      <w:numFmt w:val="bullet"/>
      <w:lvlText w:val=""/>
      <w:lvlJc w:val="left"/>
      <w:pPr>
        <w:ind w:left="4320" w:hanging="360"/>
      </w:pPr>
      <w:rPr>
        <w:rFonts w:ascii="Wingdings" w:hAnsi="Wingdings" w:hint="default"/>
      </w:rPr>
    </w:lvl>
    <w:lvl w:ilvl="6" w:tplc="45F43602" w:tentative="1">
      <w:start w:val="1"/>
      <w:numFmt w:val="bullet"/>
      <w:lvlText w:val=""/>
      <w:lvlJc w:val="left"/>
      <w:pPr>
        <w:ind w:left="5040" w:hanging="360"/>
      </w:pPr>
      <w:rPr>
        <w:rFonts w:ascii="Symbol" w:hAnsi="Symbol" w:hint="default"/>
      </w:rPr>
    </w:lvl>
    <w:lvl w:ilvl="7" w:tplc="3738DD54" w:tentative="1">
      <w:start w:val="1"/>
      <w:numFmt w:val="bullet"/>
      <w:lvlText w:val="o"/>
      <w:lvlJc w:val="left"/>
      <w:pPr>
        <w:ind w:left="5760" w:hanging="360"/>
      </w:pPr>
      <w:rPr>
        <w:rFonts w:ascii="Courier New" w:hAnsi="Courier New" w:cs="Courier New" w:hint="default"/>
      </w:rPr>
    </w:lvl>
    <w:lvl w:ilvl="8" w:tplc="A3F80798" w:tentative="1">
      <w:start w:val="1"/>
      <w:numFmt w:val="bullet"/>
      <w:lvlText w:val=""/>
      <w:lvlJc w:val="left"/>
      <w:pPr>
        <w:ind w:left="6480" w:hanging="360"/>
      </w:pPr>
      <w:rPr>
        <w:rFonts w:ascii="Wingdings" w:hAnsi="Wingdings" w:hint="default"/>
      </w:rPr>
    </w:lvl>
  </w:abstractNum>
  <w:abstractNum w:abstractNumId="29" w15:restartNumberingAfterBreak="0">
    <w:nsid w:val="37573839"/>
    <w:multiLevelType w:val="hybridMultilevel"/>
    <w:tmpl w:val="5118811A"/>
    <w:lvl w:ilvl="0" w:tplc="C18CB172">
      <w:start w:val="1"/>
      <w:numFmt w:val="bullet"/>
      <w:lvlText w:val=""/>
      <w:lvlJc w:val="left"/>
      <w:pPr>
        <w:ind w:left="786" w:hanging="360"/>
      </w:pPr>
      <w:rPr>
        <w:rFonts w:ascii="Symbol" w:hAnsi="Symbol" w:hint="default"/>
      </w:rPr>
    </w:lvl>
    <w:lvl w:ilvl="1" w:tplc="CDD0549A" w:tentative="1">
      <w:start w:val="1"/>
      <w:numFmt w:val="bullet"/>
      <w:lvlText w:val="o"/>
      <w:lvlJc w:val="left"/>
      <w:pPr>
        <w:ind w:left="1506" w:hanging="360"/>
      </w:pPr>
      <w:rPr>
        <w:rFonts w:ascii="Courier New" w:hAnsi="Courier New" w:cs="Courier New" w:hint="default"/>
      </w:rPr>
    </w:lvl>
    <w:lvl w:ilvl="2" w:tplc="07F23CAC" w:tentative="1">
      <w:start w:val="1"/>
      <w:numFmt w:val="bullet"/>
      <w:lvlText w:val=""/>
      <w:lvlJc w:val="left"/>
      <w:pPr>
        <w:ind w:left="2226" w:hanging="360"/>
      </w:pPr>
      <w:rPr>
        <w:rFonts w:ascii="Wingdings" w:hAnsi="Wingdings" w:hint="default"/>
      </w:rPr>
    </w:lvl>
    <w:lvl w:ilvl="3" w:tplc="E6143346" w:tentative="1">
      <w:start w:val="1"/>
      <w:numFmt w:val="bullet"/>
      <w:lvlText w:val=""/>
      <w:lvlJc w:val="left"/>
      <w:pPr>
        <w:ind w:left="2946" w:hanging="360"/>
      </w:pPr>
      <w:rPr>
        <w:rFonts w:ascii="Symbol" w:hAnsi="Symbol" w:hint="default"/>
      </w:rPr>
    </w:lvl>
    <w:lvl w:ilvl="4" w:tplc="67A6B66E" w:tentative="1">
      <w:start w:val="1"/>
      <w:numFmt w:val="bullet"/>
      <w:lvlText w:val="o"/>
      <w:lvlJc w:val="left"/>
      <w:pPr>
        <w:ind w:left="3666" w:hanging="360"/>
      </w:pPr>
      <w:rPr>
        <w:rFonts w:ascii="Courier New" w:hAnsi="Courier New" w:cs="Courier New" w:hint="default"/>
      </w:rPr>
    </w:lvl>
    <w:lvl w:ilvl="5" w:tplc="46BE68E8" w:tentative="1">
      <w:start w:val="1"/>
      <w:numFmt w:val="bullet"/>
      <w:lvlText w:val=""/>
      <w:lvlJc w:val="left"/>
      <w:pPr>
        <w:ind w:left="4386" w:hanging="360"/>
      </w:pPr>
      <w:rPr>
        <w:rFonts w:ascii="Wingdings" w:hAnsi="Wingdings" w:hint="default"/>
      </w:rPr>
    </w:lvl>
    <w:lvl w:ilvl="6" w:tplc="00C6EFD0" w:tentative="1">
      <w:start w:val="1"/>
      <w:numFmt w:val="bullet"/>
      <w:lvlText w:val=""/>
      <w:lvlJc w:val="left"/>
      <w:pPr>
        <w:ind w:left="5106" w:hanging="360"/>
      </w:pPr>
      <w:rPr>
        <w:rFonts w:ascii="Symbol" w:hAnsi="Symbol" w:hint="default"/>
      </w:rPr>
    </w:lvl>
    <w:lvl w:ilvl="7" w:tplc="BB3C60A4" w:tentative="1">
      <w:start w:val="1"/>
      <w:numFmt w:val="bullet"/>
      <w:lvlText w:val="o"/>
      <w:lvlJc w:val="left"/>
      <w:pPr>
        <w:ind w:left="5826" w:hanging="360"/>
      </w:pPr>
      <w:rPr>
        <w:rFonts w:ascii="Courier New" w:hAnsi="Courier New" w:cs="Courier New" w:hint="default"/>
      </w:rPr>
    </w:lvl>
    <w:lvl w:ilvl="8" w:tplc="F73C7B12" w:tentative="1">
      <w:start w:val="1"/>
      <w:numFmt w:val="bullet"/>
      <w:lvlText w:val=""/>
      <w:lvlJc w:val="left"/>
      <w:pPr>
        <w:ind w:left="6546" w:hanging="360"/>
      </w:pPr>
      <w:rPr>
        <w:rFonts w:ascii="Wingdings" w:hAnsi="Wingdings" w:hint="default"/>
      </w:rPr>
    </w:lvl>
  </w:abstractNum>
  <w:abstractNum w:abstractNumId="30" w15:restartNumberingAfterBreak="0">
    <w:nsid w:val="398D0E63"/>
    <w:multiLevelType w:val="hybridMultilevel"/>
    <w:tmpl w:val="504838DE"/>
    <w:lvl w:ilvl="0" w:tplc="1D580EBC">
      <w:start w:val="1"/>
      <w:numFmt w:val="bullet"/>
      <w:lvlText w:val=""/>
      <w:lvlJc w:val="left"/>
      <w:pPr>
        <w:ind w:left="1440" w:hanging="360"/>
      </w:pPr>
      <w:rPr>
        <w:rFonts w:ascii="Symbol" w:hAnsi="Symbol" w:hint="default"/>
      </w:rPr>
    </w:lvl>
    <w:lvl w:ilvl="1" w:tplc="C0147532" w:tentative="1">
      <w:start w:val="1"/>
      <w:numFmt w:val="bullet"/>
      <w:lvlText w:val="o"/>
      <w:lvlJc w:val="left"/>
      <w:pPr>
        <w:ind w:left="2160" w:hanging="360"/>
      </w:pPr>
      <w:rPr>
        <w:rFonts w:ascii="Courier New" w:hAnsi="Courier New" w:cs="Courier New" w:hint="default"/>
      </w:rPr>
    </w:lvl>
    <w:lvl w:ilvl="2" w:tplc="8076B65A" w:tentative="1">
      <w:start w:val="1"/>
      <w:numFmt w:val="bullet"/>
      <w:lvlText w:val=""/>
      <w:lvlJc w:val="left"/>
      <w:pPr>
        <w:ind w:left="2880" w:hanging="360"/>
      </w:pPr>
      <w:rPr>
        <w:rFonts w:ascii="Wingdings" w:hAnsi="Wingdings" w:hint="default"/>
      </w:rPr>
    </w:lvl>
    <w:lvl w:ilvl="3" w:tplc="236E9DAA" w:tentative="1">
      <w:start w:val="1"/>
      <w:numFmt w:val="bullet"/>
      <w:lvlText w:val=""/>
      <w:lvlJc w:val="left"/>
      <w:pPr>
        <w:ind w:left="3600" w:hanging="360"/>
      </w:pPr>
      <w:rPr>
        <w:rFonts w:ascii="Symbol" w:hAnsi="Symbol" w:hint="default"/>
      </w:rPr>
    </w:lvl>
    <w:lvl w:ilvl="4" w:tplc="1EAAC1AC" w:tentative="1">
      <w:start w:val="1"/>
      <w:numFmt w:val="bullet"/>
      <w:lvlText w:val="o"/>
      <w:lvlJc w:val="left"/>
      <w:pPr>
        <w:ind w:left="4320" w:hanging="360"/>
      </w:pPr>
      <w:rPr>
        <w:rFonts w:ascii="Courier New" w:hAnsi="Courier New" w:cs="Courier New" w:hint="default"/>
      </w:rPr>
    </w:lvl>
    <w:lvl w:ilvl="5" w:tplc="9AA2DE6C" w:tentative="1">
      <w:start w:val="1"/>
      <w:numFmt w:val="bullet"/>
      <w:lvlText w:val=""/>
      <w:lvlJc w:val="left"/>
      <w:pPr>
        <w:ind w:left="5040" w:hanging="360"/>
      </w:pPr>
      <w:rPr>
        <w:rFonts w:ascii="Wingdings" w:hAnsi="Wingdings" w:hint="default"/>
      </w:rPr>
    </w:lvl>
    <w:lvl w:ilvl="6" w:tplc="740670BC" w:tentative="1">
      <w:start w:val="1"/>
      <w:numFmt w:val="bullet"/>
      <w:lvlText w:val=""/>
      <w:lvlJc w:val="left"/>
      <w:pPr>
        <w:ind w:left="5760" w:hanging="360"/>
      </w:pPr>
      <w:rPr>
        <w:rFonts w:ascii="Symbol" w:hAnsi="Symbol" w:hint="default"/>
      </w:rPr>
    </w:lvl>
    <w:lvl w:ilvl="7" w:tplc="6D6053FC" w:tentative="1">
      <w:start w:val="1"/>
      <w:numFmt w:val="bullet"/>
      <w:lvlText w:val="o"/>
      <w:lvlJc w:val="left"/>
      <w:pPr>
        <w:ind w:left="6480" w:hanging="360"/>
      </w:pPr>
      <w:rPr>
        <w:rFonts w:ascii="Courier New" w:hAnsi="Courier New" w:cs="Courier New" w:hint="default"/>
      </w:rPr>
    </w:lvl>
    <w:lvl w:ilvl="8" w:tplc="5ABEC4B8" w:tentative="1">
      <w:start w:val="1"/>
      <w:numFmt w:val="bullet"/>
      <w:lvlText w:val=""/>
      <w:lvlJc w:val="left"/>
      <w:pPr>
        <w:ind w:left="7200" w:hanging="360"/>
      </w:pPr>
      <w:rPr>
        <w:rFonts w:ascii="Wingdings" w:hAnsi="Wingdings" w:hint="default"/>
      </w:rPr>
    </w:lvl>
  </w:abstractNum>
  <w:abstractNum w:abstractNumId="31" w15:restartNumberingAfterBreak="0">
    <w:nsid w:val="3CD21179"/>
    <w:multiLevelType w:val="hybridMultilevel"/>
    <w:tmpl w:val="FC2CECA6"/>
    <w:lvl w:ilvl="0" w:tplc="3AA2B1F0">
      <w:start w:val="1"/>
      <w:numFmt w:val="bullet"/>
      <w:lvlText w:val=""/>
      <w:lvlJc w:val="left"/>
      <w:pPr>
        <w:ind w:left="720" w:hanging="360"/>
      </w:pPr>
      <w:rPr>
        <w:rFonts w:ascii="Symbol" w:hAnsi="Symbol" w:hint="default"/>
      </w:rPr>
    </w:lvl>
    <w:lvl w:ilvl="1" w:tplc="F77602EE">
      <w:start w:val="1"/>
      <w:numFmt w:val="bullet"/>
      <w:lvlText w:val="o"/>
      <w:lvlJc w:val="left"/>
      <w:pPr>
        <w:ind w:left="1353" w:hanging="360"/>
      </w:pPr>
      <w:rPr>
        <w:rFonts w:ascii="Courier New" w:hAnsi="Courier New" w:cs="Courier New" w:hint="default"/>
      </w:rPr>
    </w:lvl>
    <w:lvl w:ilvl="2" w:tplc="C9B6FD7A">
      <w:start w:val="1"/>
      <w:numFmt w:val="bullet"/>
      <w:lvlText w:val=""/>
      <w:lvlJc w:val="left"/>
      <w:pPr>
        <w:ind w:left="2160" w:hanging="360"/>
      </w:pPr>
      <w:rPr>
        <w:rFonts w:ascii="Wingdings" w:hAnsi="Wingdings" w:hint="default"/>
      </w:rPr>
    </w:lvl>
    <w:lvl w:ilvl="3" w:tplc="C264FB7E" w:tentative="1">
      <w:start w:val="1"/>
      <w:numFmt w:val="bullet"/>
      <w:lvlText w:val=""/>
      <w:lvlJc w:val="left"/>
      <w:pPr>
        <w:ind w:left="2880" w:hanging="360"/>
      </w:pPr>
      <w:rPr>
        <w:rFonts w:ascii="Symbol" w:hAnsi="Symbol" w:hint="default"/>
      </w:rPr>
    </w:lvl>
    <w:lvl w:ilvl="4" w:tplc="CACEC934" w:tentative="1">
      <w:start w:val="1"/>
      <w:numFmt w:val="bullet"/>
      <w:lvlText w:val="o"/>
      <w:lvlJc w:val="left"/>
      <w:pPr>
        <w:ind w:left="3600" w:hanging="360"/>
      </w:pPr>
      <w:rPr>
        <w:rFonts w:ascii="Courier New" w:hAnsi="Courier New" w:cs="Courier New" w:hint="default"/>
      </w:rPr>
    </w:lvl>
    <w:lvl w:ilvl="5" w:tplc="5314B470" w:tentative="1">
      <w:start w:val="1"/>
      <w:numFmt w:val="bullet"/>
      <w:lvlText w:val=""/>
      <w:lvlJc w:val="left"/>
      <w:pPr>
        <w:ind w:left="4320" w:hanging="360"/>
      </w:pPr>
      <w:rPr>
        <w:rFonts w:ascii="Wingdings" w:hAnsi="Wingdings" w:hint="default"/>
      </w:rPr>
    </w:lvl>
    <w:lvl w:ilvl="6" w:tplc="A4D4C746" w:tentative="1">
      <w:start w:val="1"/>
      <w:numFmt w:val="bullet"/>
      <w:lvlText w:val=""/>
      <w:lvlJc w:val="left"/>
      <w:pPr>
        <w:ind w:left="5040" w:hanging="360"/>
      </w:pPr>
      <w:rPr>
        <w:rFonts w:ascii="Symbol" w:hAnsi="Symbol" w:hint="default"/>
      </w:rPr>
    </w:lvl>
    <w:lvl w:ilvl="7" w:tplc="428201F6" w:tentative="1">
      <w:start w:val="1"/>
      <w:numFmt w:val="bullet"/>
      <w:lvlText w:val="o"/>
      <w:lvlJc w:val="left"/>
      <w:pPr>
        <w:ind w:left="5760" w:hanging="360"/>
      </w:pPr>
      <w:rPr>
        <w:rFonts w:ascii="Courier New" w:hAnsi="Courier New" w:cs="Courier New" w:hint="default"/>
      </w:rPr>
    </w:lvl>
    <w:lvl w:ilvl="8" w:tplc="B5CCC210" w:tentative="1">
      <w:start w:val="1"/>
      <w:numFmt w:val="bullet"/>
      <w:lvlText w:val=""/>
      <w:lvlJc w:val="left"/>
      <w:pPr>
        <w:ind w:left="6480" w:hanging="360"/>
      </w:pPr>
      <w:rPr>
        <w:rFonts w:ascii="Wingdings" w:hAnsi="Wingdings" w:hint="default"/>
      </w:rPr>
    </w:lvl>
  </w:abstractNum>
  <w:abstractNum w:abstractNumId="32" w15:restartNumberingAfterBreak="0">
    <w:nsid w:val="420860A3"/>
    <w:multiLevelType w:val="hybridMultilevel"/>
    <w:tmpl w:val="2DF6A548"/>
    <w:lvl w:ilvl="0" w:tplc="1A185F50">
      <w:start w:val="1"/>
      <w:numFmt w:val="decimal"/>
      <w:pStyle w:val="Heading2-numbered"/>
      <w:lvlText w:val="%1."/>
      <w:lvlJc w:val="left"/>
      <w:pPr>
        <w:ind w:left="360" w:hanging="360"/>
      </w:pPr>
    </w:lvl>
    <w:lvl w:ilvl="1" w:tplc="D8C0CC12" w:tentative="1">
      <w:start w:val="1"/>
      <w:numFmt w:val="lowerLetter"/>
      <w:lvlText w:val="%2."/>
      <w:lvlJc w:val="left"/>
      <w:pPr>
        <w:ind w:left="1080" w:hanging="360"/>
      </w:pPr>
    </w:lvl>
    <w:lvl w:ilvl="2" w:tplc="82FCA36E" w:tentative="1">
      <w:start w:val="1"/>
      <w:numFmt w:val="lowerRoman"/>
      <w:lvlText w:val="%3."/>
      <w:lvlJc w:val="right"/>
      <w:pPr>
        <w:ind w:left="1800" w:hanging="180"/>
      </w:pPr>
    </w:lvl>
    <w:lvl w:ilvl="3" w:tplc="2696BCF2" w:tentative="1">
      <w:start w:val="1"/>
      <w:numFmt w:val="decimal"/>
      <w:lvlText w:val="%4."/>
      <w:lvlJc w:val="left"/>
      <w:pPr>
        <w:ind w:left="2520" w:hanging="360"/>
      </w:pPr>
    </w:lvl>
    <w:lvl w:ilvl="4" w:tplc="25B013DA" w:tentative="1">
      <w:start w:val="1"/>
      <w:numFmt w:val="lowerLetter"/>
      <w:lvlText w:val="%5."/>
      <w:lvlJc w:val="left"/>
      <w:pPr>
        <w:ind w:left="3240" w:hanging="360"/>
      </w:pPr>
    </w:lvl>
    <w:lvl w:ilvl="5" w:tplc="0498846E" w:tentative="1">
      <w:start w:val="1"/>
      <w:numFmt w:val="lowerRoman"/>
      <w:lvlText w:val="%6."/>
      <w:lvlJc w:val="right"/>
      <w:pPr>
        <w:ind w:left="3960" w:hanging="180"/>
      </w:pPr>
    </w:lvl>
    <w:lvl w:ilvl="6" w:tplc="DBD86FC8" w:tentative="1">
      <w:start w:val="1"/>
      <w:numFmt w:val="decimal"/>
      <w:lvlText w:val="%7."/>
      <w:lvlJc w:val="left"/>
      <w:pPr>
        <w:ind w:left="4680" w:hanging="360"/>
      </w:pPr>
    </w:lvl>
    <w:lvl w:ilvl="7" w:tplc="BA42F962" w:tentative="1">
      <w:start w:val="1"/>
      <w:numFmt w:val="lowerLetter"/>
      <w:lvlText w:val="%8."/>
      <w:lvlJc w:val="left"/>
      <w:pPr>
        <w:ind w:left="5400" w:hanging="360"/>
      </w:pPr>
    </w:lvl>
    <w:lvl w:ilvl="8" w:tplc="DF14C166" w:tentative="1">
      <w:start w:val="1"/>
      <w:numFmt w:val="lowerRoman"/>
      <w:lvlText w:val="%9."/>
      <w:lvlJc w:val="right"/>
      <w:pPr>
        <w:ind w:left="6120" w:hanging="180"/>
      </w:pPr>
    </w:lvl>
  </w:abstractNum>
  <w:abstractNum w:abstractNumId="33" w15:restartNumberingAfterBreak="0">
    <w:nsid w:val="489A01B5"/>
    <w:multiLevelType w:val="hybridMultilevel"/>
    <w:tmpl w:val="4008D5EE"/>
    <w:lvl w:ilvl="0" w:tplc="E41CBA56">
      <w:start w:val="1"/>
      <w:numFmt w:val="bullet"/>
      <w:lvlText w:val=""/>
      <w:lvlJc w:val="left"/>
      <w:pPr>
        <w:ind w:left="720" w:hanging="360"/>
      </w:pPr>
      <w:rPr>
        <w:rFonts w:ascii="Symbol" w:hAnsi="Symbol" w:hint="default"/>
      </w:rPr>
    </w:lvl>
    <w:lvl w:ilvl="1" w:tplc="FC3C206E" w:tentative="1">
      <w:start w:val="1"/>
      <w:numFmt w:val="bullet"/>
      <w:lvlText w:val="o"/>
      <w:lvlJc w:val="left"/>
      <w:pPr>
        <w:ind w:left="1440" w:hanging="360"/>
      </w:pPr>
      <w:rPr>
        <w:rFonts w:ascii="Courier New" w:hAnsi="Courier New" w:cs="Courier New" w:hint="default"/>
      </w:rPr>
    </w:lvl>
    <w:lvl w:ilvl="2" w:tplc="7754547C" w:tentative="1">
      <w:start w:val="1"/>
      <w:numFmt w:val="bullet"/>
      <w:lvlText w:val=""/>
      <w:lvlJc w:val="left"/>
      <w:pPr>
        <w:ind w:left="2160" w:hanging="360"/>
      </w:pPr>
      <w:rPr>
        <w:rFonts w:ascii="Wingdings" w:hAnsi="Wingdings" w:hint="default"/>
      </w:rPr>
    </w:lvl>
    <w:lvl w:ilvl="3" w:tplc="6CC2D194" w:tentative="1">
      <w:start w:val="1"/>
      <w:numFmt w:val="bullet"/>
      <w:lvlText w:val=""/>
      <w:lvlJc w:val="left"/>
      <w:pPr>
        <w:ind w:left="2880" w:hanging="360"/>
      </w:pPr>
      <w:rPr>
        <w:rFonts w:ascii="Symbol" w:hAnsi="Symbol" w:hint="default"/>
      </w:rPr>
    </w:lvl>
    <w:lvl w:ilvl="4" w:tplc="CC404D44" w:tentative="1">
      <w:start w:val="1"/>
      <w:numFmt w:val="bullet"/>
      <w:lvlText w:val="o"/>
      <w:lvlJc w:val="left"/>
      <w:pPr>
        <w:ind w:left="3600" w:hanging="360"/>
      </w:pPr>
      <w:rPr>
        <w:rFonts w:ascii="Courier New" w:hAnsi="Courier New" w:cs="Courier New" w:hint="default"/>
      </w:rPr>
    </w:lvl>
    <w:lvl w:ilvl="5" w:tplc="97203BCC" w:tentative="1">
      <w:start w:val="1"/>
      <w:numFmt w:val="bullet"/>
      <w:lvlText w:val=""/>
      <w:lvlJc w:val="left"/>
      <w:pPr>
        <w:ind w:left="4320" w:hanging="360"/>
      </w:pPr>
      <w:rPr>
        <w:rFonts w:ascii="Wingdings" w:hAnsi="Wingdings" w:hint="default"/>
      </w:rPr>
    </w:lvl>
    <w:lvl w:ilvl="6" w:tplc="59D6C8B6" w:tentative="1">
      <w:start w:val="1"/>
      <w:numFmt w:val="bullet"/>
      <w:lvlText w:val=""/>
      <w:lvlJc w:val="left"/>
      <w:pPr>
        <w:ind w:left="5040" w:hanging="360"/>
      </w:pPr>
      <w:rPr>
        <w:rFonts w:ascii="Symbol" w:hAnsi="Symbol" w:hint="default"/>
      </w:rPr>
    </w:lvl>
    <w:lvl w:ilvl="7" w:tplc="986CCFF8" w:tentative="1">
      <w:start w:val="1"/>
      <w:numFmt w:val="bullet"/>
      <w:lvlText w:val="o"/>
      <w:lvlJc w:val="left"/>
      <w:pPr>
        <w:ind w:left="5760" w:hanging="360"/>
      </w:pPr>
      <w:rPr>
        <w:rFonts w:ascii="Courier New" w:hAnsi="Courier New" w:cs="Courier New" w:hint="default"/>
      </w:rPr>
    </w:lvl>
    <w:lvl w:ilvl="8" w:tplc="F4945DE6" w:tentative="1">
      <w:start w:val="1"/>
      <w:numFmt w:val="bullet"/>
      <w:lvlText w:val=""/>
      <w:lvlJc w:val="left"/>
      <w:pPr>
        <w:ind w:left="6480" w:hanging="360"/>
      </w:pPr>
      <w:rPr>
        <w:rFonts w:ascii="Wingdings" w:hAnsi="Wingdings" w:hint="default"/>
      </w:rPr>
    </w:lvl>
  </w:abstractNum>
  <w:abstractNum w:abstractNumId="34" w15:restartNumberingAfterBreak="0">
    <w:nsid w:val="4E097B18"/>
    <w:multiLevelType w:val="hybridMultilevel"/>
    <w:tmpl w:val="4A8A06F0"/>
    <w:lvl w:ilvl="0" w:tplc="AEBCF75A">
      <w:start w:val="1"/>
      <w:numFmt w:val="bullet"/>
      <w:lvlText w:val=""/>
      <w:lvlJc w:val="left"/>
      <w:pPr>
        <w:ind w:left="720" w:hanging="360"/>
      </w:pPr>
      <w:rPr>
        <w:rFonts w:ascii="Symbol" w:hAnsi="Symbol" w:hint="default"/>
      </w:rPr>
    </w:lvl>
    <w:lvl w:ilvl="1" w:tplc="CB74D494" w:tentative="1">
      <w:start w:val="1"/>
      <w:numFmt w:val="bullet"/>
      <w:lvlText w:val="o"/>
      <w:lvlJc w:val="left"/>
      <w:pPr>
        <w:ind w:left="1440" w:hanging="360"/>
      </w:pPr>
      <w:rPr>
        <w:rFonts w:ascii="Courier New" w:hAnsi="Courier New" w:cs="Courier New" w:hint="default"/>
      </w:rPr>
    </w:lvl>
    <w:lvl w:ilvl="2" w:tplc="DFAC6164" w:tentative="1">
      <w:start w:val="1"/>
      <w:numFmt w:val="bullet"/>
      <w:lvlText w:val=""/>
      <w:lvlJc w:val="left"/>
      <w:pPr>
        <w:ind w:left="2160" w:hanging="360"/>
      </w:pPr>
      <w:rPr>
        <w:rFonts w:ascii="Wingdings" w:hAnsi="Wingdings" w:hint="default"/>
      </w:rPr>
    </w:lvl>
    <w:lvl w:ilvl="3" w:tplc="8E12ECFC" w:tentative="1">
      <w:start w:val="1"/>
      <w:numFmt w:val="bullet"/>
      <w:lvlText w:val=""/>
      <w:lvlJc w:val="left"/>
      <w:pPr>
        <w:ind w:left="2880" w:hanging="360"/>
      </w:pPr>
      <w:rPr>
        <w:rFonts w:ascii="Symbol" w:hAnsi="Symbol" w:hint="default"/>
      </w:rPr>
    </w:lvl>
    <w:lvl w:ilvl="4" w:tplc="2ACADBC4" w:tentative="1">
      <w:start w:val="1"/>
      <w:numFmt w:val="bullet"/>
      <w:lvlText w:val="o"/>
      <w:lvlJc w:val="left"/>
      <w:pPr>
        <w:ind w:left="3600" w:hanging="360"/>
      </w:pPr>
      <w:rPr>
        <w:rFonts w:ascii="Courier New" w:hAnsi="Courier New" w:cs="Courier New" w:hint="default"/>
      </w:rPr>
    </w:lvl>
    <w:lvl w:ilvl="5" w:tplc="B2D8ADB0" w:tentative="1">
      <w:start w:val="1"/>
      <w:numFmt w:val="bullet"/>
      <w:lvlText w:val=""/>
      <w:lvlJc w:val="left"/>
      <w:pPr>
        <w:ind w:left="4320" w:hanging="360"/>
      </w:pPr>
      <w:rPr>
        <w:rFonts w:ascii="Wingdings" w:hAnsi="Wingdings" w:hint="default"/>
      </w:rPr>
    </w:lvl>
    <w:lvl w:ilvl="6" w:tplc="B83C8950" w:tentative="1">
      <w:start w:val="1"/>
      <w:numFmt w:val="bullet"/>
      <w:lvlText w:val=""/>
      <w:lvlJc w:val="left"/>
      <w:pPr>
        <w:ind w:left="5040" w:hanging="360"/>
      </w:pPr>
      <w:rPr>
        <w:rFonts w:ascii="Symbol" w:hAnsi="Symbol" w:hint="default"/>
      </w:rPr>
    </w:lvl>
    <w:lvl w:ilvl="7" w:tplc="49FA6174" w:tentative="1">
      <w:start w:val="1"/>
      <w:numFmt w:val="bullet"/>
      <w:lvlText w:val="o"/>
      <w:lvlJc w:val="left"/>
      <w:pPr>
        <w:ind w:left="5760" w:hanging="360"/>
      </w:pPr>
      <w:rPr>
        <w:rFonts w:ascii="Courier New" w:hAnsi="Courier New" w:cs="Courier New" w:hint="default"/>
      </w:rPr>
    </w:lvl>
    <w:lvl w:ilvl="8" w:tplc="1248A00E" w:tentative="1">
      <w:start w:val="1"/>
      <w:numFmt w:val="bullet"/>
      <w:lvlText w:val=""/>
      <w:lvlJc w:val="left"/>
      <w:pPr>
        <w:ind w:left="6480" w:hanging="360"/>
      </w:pPr>
      <w:rPr>
        <w:rFonts w:ascii="Wingdings" w:hAnsi="Wingdings" w:hint="default"/>
      </w:rPr>
    </w:lvl>
  </w:abstractNum>
  <w:abstractNum w:abstractNumId="35" w15:restartNumberingAfterBreak="0">
    <w:nsid w:val="5089630A"/>
    <w:multiLevelType w:val="hybridMultilevel"/>
    <w:tmpl w:val="325691BA"/>
    <w:lvl w:ilvl="0" w:tplc="94448E70">
      <w:start w:val="1"/>
      <w:numFmt w:val="bullet"/>
      <w:lvlText w:val=""/>
      <w:lvlJc w:val="left"/>
      <w:pPr>
        <w:ind w:left="502" w:hanging="360"/>
      </w:pPr>
      <w:rPr>
        <w:rFonts w:ascii="Symbol" w:hAnsi="Symbol" w:hint="default"/>
      </w:rPr>
    </w:lvl>
    <w:lvl w:ilvl="1" w:tplc="FDA41A4C" w:tentative="1">
      <w:start w:val="1"/>
      <w:numFmt w:val="bullet"/>
      <w:lvlText w:val="o"/>
      <w:lvlJc w:val="left"/>
      <w:pPr>
        <w:ind w:left="1222" w:hanging="360"/>
      </w:pPr>
      <w:rPr>
        <w:rFonts w:ascii="Courier New" w:hAnsi="Courier New" w:cs="Courier New" w:hint="default"/>
      </w:rPr>
    </w:lvl>
    <w:lvl w:ilvl="2" w:tplc="5E16C590" w:tentative="1">
      <w:start w:val="1"/>
      <w:numFmt w:val="bullet"/>
      <w:lvlText w:val=""/>
      <w:lvlJc w:val="left"/>
      <w:pPr>
        <w:ind w:left="1942" w:hanging="360"/>
      </w:pPr>
      <w:rPr>
        <w:rFonts w:ascii="Wingdings" w:hAnsi="Wingdings" w:hint="default"/>
      </w:rPr>
    </w:lvl>
    <w:lvl w:ilvl="3" w:tplc="AC5E1214" w:tentative="1">
      <w:start w:val="1"/>
      <w:numFmt w:val="bullet"/>
      <w:lvlText w:val=""/>
      <w:lvlJc w:val="left"/>
      <w:pPr>
        <w:ind w:left="2662" w:hanging="360"/>
      </w:pPr>
      <w:rPr>
        <w:rFonts w:ascii="Symbol" w:hAnsi="Symbol" w:hint="default"/>
      </w:rPr>
    </w:lvl>
    <w:lvl w:ilvl="4" w:tplc="075E0DE8" w:tentative="1">
      <w:start w:val="1"/>
      <w:numFmt w:val="bullet"/>
      <w:lvlText w:val="o"/>
      <w:lvlJc w:val="left"/>
      <w:pPr>
        <w:ind w:left="3382" w:hanging="360"/>
      </w:pPr>
      <w:rPr>
        <w:rFonts w:ascii="Courier New" w:hAnsi="Courier New" w:cs="Courier New" w:hint="default"/>
      </w:rPr>
    </w:lvl>
    <w:lvl w:ilvl="5" w:tplc="BBDA4226" w:tentative="1">
      <w:start w:val="1"/>
      <w:numFmt w:val="bullet"/>
      <w:lvlText w:val=""/>
      <w:lvlJc w:val="left"/>
      <w:pPr>
        <w:ind w:left="4102" w:hanging="360"/>
      </w:pPr>
      <w:rPr>
        <w:rFonts w:ascii="Wingdings" w:hAnsi="Wingdings" w:hint="default"/>
      </w:rPr>
    </w:lvl>
    <w:lvl w:ilvl="6" w:tplc="FAAACEA8" w:tentative="1">
      <w:start w:val="1"/>
      <w:numFmt w:val="bullet"/>
      <w:lvlText w:val=""/>
      <w:lvlJc w:val="left"/>
      <w:pPr>
        <w:ind w:left="4822" w:hanging="360"/>
      </w:pPr>
      <w:rPr>
        <w:rFonts w:ascii="Symbol" w:hAnsi="Symbol" w:hint="default"/>
      </w:rPr>
    </w:lvl>
    <w:lvl w:ilvl="7" w:tplc="95A8B3EE" w:tentative="1">
      <w:start w:val="1"/>
      <w:numFmt w:val="bullet"/>
      <w:lvlText w:val="o"/>
      <w:lvlJc w:val="left"/>
      <w:pPr>
        <w:ind w:left="5542" w:hanging="360"/>
      </w:pPr>
      <w:rPr>
        <w:rFonts w:ascii="Courier New" w:hAnsi="Courier New" w:cs="Courier New" w:hint="default"/>
      </w:rPr>
    </w:lvl>
    <w:lvl w:ilvl="8" w:tplc="3A0ADA62" w:tentative="1">
      <w:start w:val="1"/>
      <w:numFmt w:val="bullet"/>
      <w:lvlText w:val=""/>
      <w:lvlJc w:val="left"/>
      <w:pPr>
        <w:ind w:left="6262" w:hanging="360"/>
      </w:pPr>
      <w:rPr>
        <w:rFonts w:ascii="Wingdings" w:hAnsi="Wingdings" w:hint="default"/>
      </w:rPr>
    </w:lvl>
  </w:abstractNum>
  <w:abstractNum w:abstractNumId="36" w15:restartNumberingAfterBreak="0">
    <w:nsid w:val="53DF5491"/>
    <w:multiLevelType w:val="hybridMultilevel"/>
    <w:tmpl w:val="48D2F91C"/>
    <w:lvl w:ilvl="0" w:tplc="48A086E2">
      <w:start w:val="1"/>
      <w:numFmt w:val="bullet"/>
      <w:lvlText w:val=""/>
      <w:lvlJc w:val="left"/>
      <w:pPr>
        <w:ind w:left="502" w:hanging="360"/>
      </w:pPr>
      <w:rPr>
        <w:rFonts w:ascii="Symbol" w:hAnsi="Symbol" w:hint="default"/>
      </w:rPr>
    </w:lvl>
    <w:lvl w:ilvl="1" w:tplc="011036A6" w:tentative="1">
      <w:start w:val="1"/>
      <w:numFmt w:val="bullet"/>
      <w:lvlText w:val="o"/>
      <w:lvlJc w:val="left"/>
      <w:pPr>
        <w:ind w:left="1222" w:hanging="360"/>
      </w:pPr>
      <w:rPr>
        <w:rFonts w:ascii="Courier New" w:hAnsi="Courier New" w:cs="Courier New" w:hint="default"/>
      </w:rPr>
    </w:lvl>
    <w:lvl w:ilvl="2" w:tplc="ED3A74C0" w:tentative="1">
      <w:start w:val="1"/>
      <w:numFmt w:val="bullet"/>
      <w:lvlText w:val=""/>
      <w:lvlJc w:val="left"/>
      <w:pPr>
        <w:ind w:left="1942" w:hanging="360"/>
      </w:pPr>
      <w:rPr>
        <w:rFonts w:ascii="Wingdings" w:hAnsi="Wingdings" w:hint="default"/>
      </w:rPr>
    </w:lvl>
    <w:lvl w:ilvl="3" w:tplc="45EE193A" w:tentative="1">
      <w:start w:val="1"/>
      <w:numFmt w:val="bullet"/>
      <w:lvlText w:val=""/>
      <w:lvlJc w:val="left"/>
      <w:pPr>
        <w:ind w:left="2662" w:hanging="360"/>
      </w:pPr>
      <w:rPr>
        <w:rFonts w:ascii="Symbol" w:hAnsi="Symbol" w:hint="default"/>
      </w:rPr>
    </w:lvl>
    <w:lvl w:ilvl="4" w:tplc="468A73BC" w:tentative="1">
      <w:start w:val="1"/>
      <w:numFmt w:val="bullet"/>
      <w:lvlText w:val="o"/>
      <w:lvlJc w:val="left"/>
      <w:pPr>
        <w:ind w:left="3382" w:hanging="360"/>
      </w:pPr>
      <w:rPr>
        <w:rFonts w:ascii="Courier New" w:hAnsi="Courier New" w:cs="Courier New" w:hint="default"/>
      </w:rPr>
    </w:lvl>
    <w:lvl w:ilvl="5" w:tplc="582E4230" w:tentative="1">
      <w:start w:val="1"/>
      <w:numFmt w:val="bullet"/>
      <w:lvlText w:val=""/>
      <w:lvlJc w:val="left"/>
      <w:pPr>
        <w:ind w:left="4102" w:hanging="360"/>
      </w:pPr>
      <w:rPr>
        <w:rFonts w:ascii="Wingdings" w:hAnsi="Wingdings" w:hint="default"/>
      </w:rPr>
    </w:lvl>
    <w:lvl w:ilvl="6" w:tplc="8ABE2774" w:tentative="1">
      <w:start w:val="1"/>
      <w:numFmt w:val="bullet"/>
      <w:lvlText w:val=""/>
      <w:lvlJc w:val="left"/>
      <w:pPr>
        <w:ind w:left="4822" w:hanging="360"/>
      </w:pPr>
      <w:rPr>
        <w:rFonts w:ascii="Symbol" w:hAnsi="Symbol" w:hint="default"/>
      </w:rPr>
    </w:lvl>
    <w:lvl w:ilvl="7" w:tplc="FE6C2A8C" w:tentative="1">
      <w:start w:val="1"/>
      <w:numFmt w:val="bullet"/>
      <w:lvlText w:val="o"/>
      <w:lvlJc w:val="left"/>
      <w:pPr>
        <w:ind w:left="5542" w:hanging="360"/>
      </w:pPr>
      <w:rPr>
        <w:rFonts w:ascii="Courier New" w:hAnsi="Courier New" w:cs="Courier New" w:hint="default"/>
      </w:rPr>
    </w:lvl>
    <w:lvl w:ilvl="8" w:tplc="C650A5F4" w:tentative="1">
      <w:start w:val="1"/>
      <w:numFmt w:val="bullet"/>
      <w:lvlText w:val=""/>
      <w:lvlJc w:val="left"/>
      <w:pPr>
        <w:ind w:left="6262" w:hanging="360"/>
      </w:pPr>
      <w:rPr>
        <w:rFonts w:ascii="Wingdings" w:hAnsi="Wingdings" w:hint="default"/>
      </w:rPr>
    </w:lvl>
  </w:abstractNum>
  <w:abstractNum w:abstractNumId="37" w15:restartNumberingAfterBreak="0">
    <w:nsid w:val="564E3D0E"/>
    <w:multiLevelType w:val="hybridMultilevel"/>
    <w:tmpl w:val="EE56084A"/>
    <w:lvl w:ilvl="0" w:tplc="C2D28D5E">
      <w:start w:val="1"/>
      <w:numFmt w:val="bullet"/>
      <w:lvlText w:val=""/>
      <w:lvlJc w:val="left"/>
      <w:pPr>
        <w:ind w:left="720" w:hanging="360"/>
      </w:pPr>
      <w:rPr>
        <w:rFonts w:ascii="Symbol" w:hAnsi="Symbol" w:hint="default"/>
      </w:rPr>
    </w:lvl>
    <w:lvl w:ilvl="1" w:tplc="D5DE2378" w:tentative="1">
      <w:start w:val="1"/>
      <w:numFmt w:val="bullet"/>
      <w:lvlText w:val="o"/>
      <w:lvlJc w:val="left"/>
      <w:pPr>
        <w:ind w:left="1440" w:hanging="360"/>
      </w:pPr>
      <w:rPr>
        <w:rFonts w:ascii="Courier New" w:hAnsi="Courier New" w:cs="Courier New" w:hint="default"/>
      </w:rPr>
    </w:lvl>
    <w:lvl w:ilvl="2" w:tplc="F8543144" w:tentative="1">
      <w:start w:val="1"/>
      <w:numFmt w:val="bullet"/>
      <w:lvlText w:val=""/>
      <w:lvlJc w:val="left"/>
      <w:pPr>
        <w:ind w:left="2160" w:hanging="360"/>
      </w:pPr>
      <w:rPr>
        <w:rFonts w:ascii="Wingdings" w:hAnsi="Wingdings" w:hint="default"/>
      </w:rPr>
    </w:lvl>
    <w:lvl w:ilvl="3" w:tplc="675A5E24" w:tentative="1">
      <w:start w:val="1"/>
      <w:numFmt w:val="bullet"/>
      <w:lvlText w:val=""/>
      <w:lvlJc w:val="left"/>
      <w:pPr>
        <w:ind w:left="2880" w:hanging="360"/>
      </w:pPr>
      <w:rPr>
        <w:rFonts w:ascii="Symbol" w:hAnsi="Symbol" w:hint="default"/>
      </w:rPr>
    </w:lvl>
    <w:lvl w:ilvl="4" w:tplc="119A811E" w:tentative="1">
      <w:start w:val="1"/>
      <w:numFmt w:val="bullet"/>
      <w:lvlText w:val="o"/>
      <w:lvlJc w:val="left"/>
      <w:pPr>
        <w:ind w:left="3600" w:hanging="360"/>
      </w:pPr>
      <w:rPr>
        <w:rFonts w:ascii="Courier New" w:hAnsi="Courier New" w:cs="Courier New" w:hint="default"/>
      </w:rPr>
    </w:lvl>
    <w:lvl w:ilvl="5" w:tplc="CACEBC22" w:tentative="1">
      <w:start w:val="1"/>
      <w:numFmt w:val="bullet"/>
      <w:lvlText w:val=""/>
      <w:lvlJc w:val="left"/>
      <w:pPr>
        <w:ind w:left="4320" w:hanging="360"/>
      </w:pPr>
      <w:rPr>
        <w:rFonts w:ascii="Wingdings" w:hAnsi="Wingdings" w:hint="default"/>
      </w:rPr>
    </w:lvl>
    <w:lvl w:ilvl="6" w:tplc="DB3880EC" w:tentative="1">
      <w:start w:val="1"/>
      <w:numFmt w:val="bullet"/>
      <w:lvlText w:val=""/>
      <w:lvlJc w:val="left"/>
      <w:pPr>
        <w:ind w:left="5040" w:hanging="360"/>
      </w:pPr>
      <w:rPr>
        <w:rFonts w:ascii="Symbol" w:hAnsi="Symbol" w:hint="default"/>
      </w:rPr>
    </w:lvl>
    <w:lvl w:ilvl="7" w:tplc="7EC263F6" w:tentative="1">
      <w:start w:val="1"/>
      <w:numFmt w:val="bullet"/>
      <w:lvlText w:val="o"/>
      <w:lvlJc w:val="left"/>
      <w:pPr>
        <w:ind w:left="5760" w:hanging="360"/>
      </w:pPr>
      <w:rPr>
        <w:rFonts w:ascii="Courier New" w:hAnsi="Courier New" w:cs="Courier New" w:hint="default"/>
      </w:rPr>
    </w:lvl>
    <w:lvl w:ilvl="8" w:tplc="41B8935E" w:tentative="1">
      <w:start w:val="1"/>
      <w:numFmt w:val="bullet"/>
      <w:lvlText w:val=""/>
      <w:lvlJc w:val="left"/>
      <w:pPr>
        <w:ind w:left="6480" w:hanging="360"/>
      </w:pPr>
      <w:rPr>
        <w:rFonts w:ascii="Wingdings" w:hAnsi="Wingdings" w:hint="default"/>
      </w:rPr>
    </w:lvl>
  </w:abstractNum>
  <w:abstractNum w:abstractNumId="38" w15:restartNumberingAfterBreak="0">
    <w:nsid w:val="59724625"/>
    <w:multiLevelType w:val="hybridMultilevel"/>
    <w:tmpl w:val="5DD2CC70"/>
    <w:lvl w:ilvl="0" w:tplc="8A94CB0E">
      <w:start w:val="1"/>
      <w:numFmt w:val="bullet"/>
      <w:lvlText w:val="o"/>
      <w:lvlJc w:val="left"/>
      <w:pPr>
        <w:ind w:left="2160" w:hanging="360"/>
      </w:pPr>
      <w:rPr>
        <w:rFonts w:ascii="Courier New" w:hAnsi="Courier New" w:cs="Courier New" w:hint="default"/>
      </w:rPr>
    </w:lvl>
    <w:lvl w:ilvl="1" w:tplc="5FE68F68" w:tentative="1">
      <w:start w:val="1"/>
      <w:numFmt w:val="bullet"/>
      <w:lvlText w:val="o"/>
      <w:lvlJc w:val="left"/>
      <w:pPr>
        <w:ind w:left="2880" w:hanging="360"/>
      </w:pPr>
      <w:rPr>
        <w:rFonts w:ascii="Courier New" w:hAnsi="Courier New" w:cs="Courier New" w:hint="default"/>
      </w:rPr>
    </w:lvl>
    <w:lvl w:ilvl="2" w:tplc="22547D44" w:tentative="1">
      <w:start w:val="1"/>
      <w:numFmt w:val="bullet"/>
      <w:lvlText w:val=""/>
      <w:lvlJc w:val="left"/>
      <w:pPr>
        <w:ind w:left="3600" w:hanging="360"/>
      </w:pPr>
      <w:rPr>
        <w:rFonts w:ascii="Wingdings" w:hAnsi="Wingdings" w:hint="default"/>
      </w:rPr>
    </w:lvl>
    <w:lvl w:ilvl="3" w:tplc="2D56B510" w:tentative="1">
      <w:start w:val="1"/>
      <w:numFmt w:val="bullet"/>
      <w:lvlText w:val=""/>
      <w:lvlJc w:val="left"/>
      <w:pPr>
        <w:ind w:left="4320" w:hanging="360"/>
      </w:pPr>
      <w:rPr>
        <w:rFonts w:ascii="Symbol" w:hAnsi="Symbol" w:hint="default"/>
      </w:rPr>
    </w:lvl>
    <w:lvl w:ilvl="4" w:tplc="A9523310" w:tentative="1">
      <w:start w:val="1"/>
      <w:numFmt w:val="bullet"/>
      <w:lvlText w:val="o"/>
      <w:lvlJc w:val="left"/>
      <w:pPr>
        <w:ind w:left="5040" w:hanging="360"/>
      </w:pPr>
      <w:rPr>
        <w:rFonts w:ascii="Courier New" w:hAnsi="Courier New" w:cs="Courier New" w:hint="default"/>
      </w:rPr>
    </w:lvl>
    <w:lvl w:ilvl="5" w:tplc="65AA94CC" w:tentative="1">
      <w:start w:val="1"/>
      <w:numFmt w:val="bullet"/>
      <w:lvlText w:val=""/>
      <w:lvlJc w:val="left"/>
      <w:pPr>
        <w:ind w:left="5760" w:hanging="360"/>
      </w:pPr>
      <w:rPr>
        <w:rFonts w:ascii="Wingdings" w:hAnsi="Wingdings" w:hint="default"/>
      </w:rPr>
    </w:lvl>
    <w:lvl w:ilvl="6" w:tplc="0264F8E2" w:tentative="1">
      <w:start w:val="1"/>
      <w:numFmt w:val="bullet"/>
      <w:lvlText w:val=""/>
      <w:lvlJc w:val="left"/>
      <w:pPr>
        <w:ind w:left="6480" w:hanging="360"/>
      </w:pPr>
      <w:rPr>
        <w:rFonts w:ascii="Symbol" w:hAnsi="Symbol" w:hint="default"/>
      </w:rPr>
    </w:lvl>
    <w:lvl w:ilvl="7" w:tplc="C1E88186" w:tentative="1">
      <w:start w:val="1"/>
      <w:numFmt w:val="bullet"/>
      <w:lvlText w:val="o"/>
      <w:lvlJc w:val="left"/>
      <w:pPr>
        <w:ind w:left="7200" w:hanging="360"/>
      </w:pPr>
      <w:rPr>
        <w:rFonts w:ascii="Courier New" w:hAnsi="Courier New" w:cs="Courier New" w:hint="default"/>
      </w:rPr>
    </w:lvl>
    <w:lvl w:ilvl="8" w:tplc="878A2F64" w:tentative="1">
      <w:start w:val="1"/>
      <w:numFmt w:val="bullet"/>
      <w:lvlText w:val=""/>
      <w:lvlJc w:val="left"/>
      <w:pPr>
        <w:ind w:left="7920" w:hanging="360"/>
      </w:pPr>
      <w:rPr>
        <w:rFonts w:ascii="Wingdings" w:hAnsi="Wingdings" w:hint="default"/>
      </w:rPr>
    </w:lvl>
  </w:abstractNum>
  <w:abstractNum w:abstractNumId="39" w15:restartNumberingAfterBreak="0">
    <w:nsid w:val="63C374F1"/>
    <w:multiLevelType w:val="hybridMultilevel"/>
    <w:tmpl w:val="A782BDFC"/>
    <w:lvl w:ilvl="0" w:tplc="17289E3E">
      <w:start w:val="1"/>
      <w:numFmt w:val="bullet"/>
      <w:lvlText w:val=""/>
      <w:lvlJc w:val="left"/>
      <w:pPr>
        <w:ind w:left="502" w:hanging="360"/>
      </w:pPr>
      <w:rPr>
        <w:rFonts w:ascii="Symbol" w:hAnsi="Symbol" w:hint="default"/>
      </w:rPr>
    </w:lvl>
    <w:lvl w:ilvl="1" w:tplc="5CD4CE1A">
      <w:numFmt w:val="bullet"/>
      <w:lvlText w:val="•"/>
      <w:lvlJc w:val="left"/>
      <w:pPr>
        <w:ind w:left="1440" w:hanging="360"/>
      </w:pPr>
      <w:rPr>
        <w:rFonts w:ascii="Arial" w:eastAsia="Calibri" w:hAnsi="Arial" w:cs="Arial" w:hint="default"/>
      </w:rPr>
    </w:lvl>
    <w:lvl w:ilvl="2" w:tplc="6D360DE6" w:tentative="1">
      <w:start w:val="1"/>
      <w:numFmt w:val="bullet"/>
      <w:lvlText w:val=""/>
      <w:lvlJc w:val="left"/>
      <w:pPr>
        <w:ind w:left="2160" w:hanging="360"/>
      </w:pPr>
      <w:rPr>
        <w:rFonts w:ascii="Wingdings" w:hAnsi="Wingdings" w:hint="default"/>
      </w:rPr>
    </w:lvl>
    <w:lvl w:ilvl="3" w:tplc="7FB6D396" w:tentative="1">
      <w:start w:val="1"/>
      <w:numFmt w:val="bullet"/>
      <w:lvlText w:val=""/>
      <w:lvlJc w:val="left"/>
      <w:pPr>
        <w:ind w:left="2880" w:hanging="360"/>
      </w:pPr>
      <w:rPr>
        <w:rFonts w:ascii="Symbol" w:hAnsi="Symbol" w:hint="default"/>
      </w:rPr>
    </w:lvl>
    <w:lvl w:ilvl="4" w:tplc="BAC489E6" w:tentative="1">
      <w:start w:val="1"/>
      <w:numFmt w:val="bullet"/>
      <w:lvlText w:val="o"/>
      <w:lvlJc w:val="left"/>
      <w:pPr>
        <w:ind w:left="3600" w:hanging="360"/>
      </w:pPr>
      <w:rPr>
        <w:rFonts w:ascii="Courier New" w:hAnsi="Courier New" w:cs="Courier New" w:hint="default"/>
      </w:rPr>
    </w:lvl>
    <w:lvl w:ilvl="5" w:tplc="E49A69E4" w:tentative="1">
      <w:start w:val="1"/>
      <w:numFmt w:val="bullet"/>
      <w:lvlText w:val=""/>
      <w:lvlJc w:val="left"/>
      <w:pPr>
        <w:ind w:left="4320" w:hanging="360"/>
      </w:pPr>
      <w:rPr>
        <w:rFonts w:ascii="Wingdings" w:hAnsi="Wingdings" w:hint="default"/>
      </w:rPr>
    </w:lvl>
    <w:lvl w:ilvl="6" w:tplc="CA34A554" w:tentative="1">
      <w:start w:val="1"/>
      <w:numFmt w:val="bullet"/>
      <w:lvlText w:val=""/>
      <w:lvlJc w:val="left"/>
      <w:pPr>
        <w:ind w:left="5040" w:hanging="360"/>
      </w:pPr>
      <w:rPr>
        <w:rFonts w:ascii="Symbol" w:hAnsi="Symbol" w:hint="default"/>
      </w:rPr>
    </w:lvl>
    <w:lvl w:ilvl="7" w:tplc="02781308" w:tentative="1">
      <w:start w:val="1"/>
      <w:numFmt w:val="bullet"/>
      <w:lvlText w:val="o"/>
      <w:lvlJc w:val="left"/>
      <w:pPr>
        <w:ind w:left="5760" w:hanging="360"/>
      </w:pPr>
      <w:rPr>
        <w:rFonts w:ascii="Courier New" w:hAnsi="Courier New" w:cs="Courier New" w:hint="default"/>
      </w:rPr>
    </w:lvl>
    <w:lvl w:ilvl="8" w:tplc="78C22848" w:tentative="1">
      <w:start w:val="1"/>
      <w:numFmt w:val="bullet"/>
      <w:lvlText w:val=""/>
      <w:lvlJc w:val="left"/>
      <w:pPr>
        <w:ind w:left="6480" w:hanging="360"/>
      </w:pPr>
      <w:rPr>
        <w:rFonts w:ascii="Wingdings" w:hAnsi="Wingdings" w:hint="default"/>
      </w:rPr>
    </w:lvl>
  </w:abstractNum>
  <w:abstractNum w:abstractNumId="40" w15:restartNumberingAfterBreak="0">
    <w:nsid w:val="63F759CD"/>
    <w:multiLevelType w:val="hybridMultilevel"/>
    <w:tmpl w:val="6FF22088"/>
    <w:lvl w:ilvl="0" w:tplc="7C50A6CA">
      <w:start w:val="1"/>
      <w:numFmt w:val="decimal"/>
      <w:pStyle w:val="Heading4"/>
      <w:lvlText w:val="%1."/>
      <w:lvlJc w:val="left"/>
      <w:pPr>
        <w:ind w:left="360" w:hanging="360"/>
      </w:pPr>
    </w:lvl>
    <w:lvl w:ilvl="1" w:tplc="04940C28" w:tentative="1">
      <w:start w:val="1"/>
      <w:numFmt w:val="lowerLetter"/>
      <w:lvlText w:val="%2."/>
      <w:lvlJc w:val="left"/>
      <w:pPr>
        <w:ind w:left="1080" w:hanging="360"/>
      </w:pPr>
    </w:lvl>
    <w:lvl w:ilvl="2" w:tplc="C130DF5C" w:tentative="1">
      <w:start w:val="1"/>
      <w:numFmt w:val="lowerRoman"/>
      <w:lvlText w:val="%3."/>
      <w:lvlJc w:val="right"/>
      <w:pPr>
        <w:ind w:left="1800" w:hanging="180"/>
      </w:pPr>
    </w:lvl>
    <w:lvl w:ilvl="3" w:tplc="4D38E058" w:tentative="1">
      <w:start w:val="1"/>
      <w:numFmt w:val="decimal"/>
      <w:lvlText w:val="%4."/>
      <w:lvlJc w:val="left"/>
      <w:pPr>
        <w:ind w:left="2520" w:hanging="360"/>
      </w:pPr>
    </w:lvl>
    <w:lvl w:ilvl="4" w:tplc="30DCC382" w:tentative="1">
      <w:start w:val="1"/>
      <w:numFmt w:val="lowerLetter"/>
      <w:lvlText w:val="%5."/>
      <w:lvlJc w:val="left"/>
      <w:pPr>
        <w:ind w:left="3240" w:hanging="360"/>
      </w:pPr>
    </w:lvl>
    <w:lvl w:ilvl="5" w:tplc="D6286880" w:tentative="1">
      <w:start w:val="1"/>
      <w:numFmt w:val="lowerRoman"/>
      <w:lvlText w:val="%6."/>
      <w:lvlJc w:val="right"/>
      <w:pPr>
        <w:ind w:left="3960" w:hanging="180"/>
      </w:pPr>
    </w:lvl>
    <w:lvl w:ilvl="6" w:tplc="8A44E228" w:tentative="1">
      <w:start w:val="1"/>
      <w:numFmt w:val="decimal"/>
      <w:lvlText w:val="%7."/>
      <w:lvlJc w:val="left"/>
      <w:pPr>
        <w:ind w:left="4680" w:hanging="360"/>
      </w:pPr>
    </w:lvl>
    <w:lvl w:ilvl="7" w:tplc="934AEC5C" w:tentative="1">
      <w:start w:val="1"/>
      <w:numFmt w:val="lowerLetter"/>
      <w:lvlText w:val="%8."/>
      <w:lvlJc w:val="left"/>
      <w:pPr>
        <w:ind w:left="5400" w:hanging="360"/>
      </w:pPr>
    </w:lvl>
    <w:lvl w:ilvl="8" w:tplc="1F1AB234" w:tentative="1">
      <w:start w:val="1"/>
      <w:numFmt w:val="lowerRoman"/>
      <w:lvlText w:val="%9."/>
      <w:lvlJc w:val="right"/>
      <w:pPr>
        <w:ind w:left="6120" w:hanging="180"/>
      </w:pPr>
    </w:lvl>
  </w:abstractNum>
  <w:abstractNum w:abstractNumId="41" w15:restartNumberingAfterBreak="0">
    <w:nsid w:val="6BFC7B04"/>
    <w:multiLevelType w:val="hybridMultilevel"/>
    <w:tmpl w:val="C9F452C8"/>
    <w:lvl w:ilvl="0" w:tplc="C186C9D4">
      <w:start w:val="1"/>
      <w:numFmt w:val="decimal"/>
      <w:lvlText w:val="%1."/>
      <w:lvlJc w:val="left"/>
      <w:pPr>
        <w:ind w:left="930" w:hanging="570"/>
      </w:pPr>
      <w:rPr>
        <w:rFonts w:hint="default"/>
      </w:rPr>
    </w:lvl>
    <w:lvl w:ilvl="1" w:tplc="83A00D4A">
      <w:start w:val="1"/>
      <w:numFmt w:val="lowerLetter"/>
      <w:lvlText w:val="%2."/>
      <w:lvlJc w:val="left"/>
      <w:pPr>
        <w:ind w:left="1440" w:hanging="360"/>
      </w:pPr>
    </w:lvl>
    <w:lvl w:ilvl="2" w:tplc="2B023926" w:tentative="1">
      <w:start w:val="1"/>
      <w:numFmt w:val="lowerRoman"/>
      <w:lvlText w:val="%3."/>
      <w:lvlJc w:val="right"/>
      <w:pPr>
        <w:ind w:left="2160" w:hanging="180"/>
      </w:pPr>
    </w:lvl>
    <w:lvl w:ilvl="3" w:tplc="C1103B98" w:tentative="1">
      <w:start w:val="1"/>
      <w:numFmt w:val="decimal"/>
      <w:lvlText w:val="%4."/>
      <w:lvlJc w:val="left"/>
      <w:pPr>
        <w:ind w:left="2880" w:hanging="360"/>
      </w:pPr>
    </w:lvl>
    <w:lvl w:ilvl="4" w:tplc="8A6004DC" w:tentative="1">
      <w:start w:val="1"/>
      <w:numFmt w:val="lowerLetter"/>
      <w:lvlText w:val="%5."/>
      <w:lvlJc w:val="left"/>
      <w:pPr>
        <w:ind w:left="3600" w:hanging="360"/>
      </w:pPr>
    </w:lvl>
    <w:lvl w:ilvl="5" w:tplc="C2609158" w:tentative="1">
      <w:start w:val="1"/>
      <w:numFmt w:val="lowerRoman"/>
      <w:lvlText w:val="%6."/>
      <w:lvlJc w:val="right"/>
      <w:pPr>
        <w:ind w:left="4320" w:hanging="180"/>
      </w:pPr>
    </w:lvl>
    <w:lvl w:ilvl="6" w:tplc="89DC573A" w:tentative="1">
      <w:start w:val="1"/>
      <w:numFmt w:val="decimal"/>
      <w:lvlText w:val="%7."/>
      <w:lvlJc w:val="left"/>
      <w:pPr>
        <w:ind w:left="5040" w:hanging="360"/>
      </w:pPr>
    </w:lvl>
    <w:lvl w:ilvl="7" w:tplc="D68C4CD8" w:tentative="1">
      <w:start w:val="1"/>
      <w:numFmt w:val="lowerLetter"/>
      <w:lvlText w:val="%8."/>
      <w:lvlJc w:val="left"/>
      <w:pPr>
        <w:ind w:left="5760" w:hanging="360"/>
      </w:pPr>
    </w:lvl>
    <w:lvl w:ilvl="8" w:tplc="7D640C82" w:tentative="1">
      <w:start w:val="1"/>
      <w:numFmt w:val="lowerRoman"/>
      <w:lvlText w:val="%9."/>
      <w:lvlJc w:val="right"/>
      <w:pPr>
        <w:ind w:left="6480" w:hanging="180"/>
      </w:pPr>
    </w:lvl>
  </w:abstractNum>
  <w:abstractNum w:abstractNumId="42" w15:restartNumberingAfterBreak="0">
    <w:nsid w:val="712C6B77"/>
    <w:multiLevelType w:val="hybridMultilevel"/>
    <w:tmpl w:val="808278F0"/>
    <w:lvl w:ilvl="0" w:tplc="D368E0CC">
      <w:start w:val="1"/>
      <w:numFmt w:val="decimal"/>
      <w:pStyle w:val="Heading3-numbered"/>
      <w:lvlText w:val="%1."/>
      <w:lvlJc w:val="left"/>
      <w:pPr>
        <w:ind w:left="360" w:hanging="360"/>
      </w:pPr>
      <w:rPr>
        <w:b/>
        <w:i w:val="0"/>
        <w:color w:val="auto"/>
        <w:sz w:val="28"/>
        <w:szCs w:val="28"/>
      </w:rPr>
    </w:lvl>
    <w:lvl w:ilvl="1" w:tplc="70DC3086" w:tentative="1">
      <w:start w:val="1"/>
      <w:numFmt w:val="lowerLetter"/>
      <w:lvlText w:val="%2."/>
      <w:lvlJc w:val="left"/>
      <w:pPr>
        <w:ind w:left="1080" w:hanging="360"/>
      </w:pPr>
    </w:lvl>
    <w:lvl w:ilvl="2" w:tplc="05B8A6B8" w:tentative="1">
      <w:start w:val="1"/>
      <w:numFmt w:val="lowerRoman"/>
      <w:lvlText w:val="%3."/>
      <w:lvlJc w:val="right"/>
      <w:pPr>
        <w:ind w:left="1800" w:hanging="180"/>
      </w:pPr>
    </w:lvl>
    <w:lvl w:ilvl="3" w:tplc="601685C6" w:tentative="1">
      <w:start w:val="1"/>
      <w:numFmt w:val="decimal"/>
      <w:lvlText w:val="%4."/>
      <w:lvlJc w:val="left"/>
      <w:pPr>
        <w:ind w:left="2520" w:hanging="360"/>
      </w:pPr>
    </w:lvl>
    <w:lvl w:ilvl="4" w:tplc="937434CC" w:tentative="1">
      <w:start w:val="1"/>
      <w:numFmt w:val="lowerLetter"/>
      <w:lvlText w:val="%5."/>
      <w:lvlJc w:val="left"/>
      <w:pPr>
        <w:ind w:left="3240" w:hanging="360"/>
      </w:pPr>
    </w:lvl>
    <w:lvl w:ilvl="5" w:tplc="0644BC3E" w:tentative="1">
      <w:start w:val="1"/>
      <w:numFmt w:val="lowerRoman"/>
      <w:lvlText w:val="%6."/>
      <w:lvlJc w:val="right"/>
      <w:pPr>
        <w:ind w:left="3960" w:hanging="180"/>
      </w:pPr>
    </w:lvl>
    <w:lvl w:ilvl="6" w:tplc="13CA8DA4" w:tentative="1">
      <w:start w:val="1"/>
      <w:numFmt w:val="decimal"/>
      <w:lvlText w:val="%7."/>
      <w:lvlJc w:val="left"/>
      <w:pPr>
        <w:ind w:left="4680" w:hanging="360"/>
      </w:pPr>
    </w:lvl>
    <w:lvl w:ilvl="7" w:tplc="5A2CCC88" w:tentative="1">
      <w:start w:val="1"/>
      <w:numFmt w:val="lowerLetter"/>
      <w:lvlText w:val="%8."/>
      <w:lvlJc w:val="left"/>
      <w:pPr>
        <w:ind w:left="5400" w:hanging="360"/>
      </w:pPr>
    </w:lvl>
    <w:lvl w:ilvl="8" w:tplc="F47278AA" w:tentative="1">
      <w:start w:val="1"/>
      <w:numFmt w:val="lowerRoman"/>
      <w:lvlText w:val="%9."/>
      <w:lvlJc w:val="right"/>
      <w:pPr>
        <w:ind w:left="6120" w:hanging="180"/>
      </w:pPr>
    </w:lvl>
  </w:abstractNum>
  <w:abstractNum w:abstractNumId="43" w15:restartNumberingAfterBreak="0">
    <w:nsid w:val="744A0F0E"/>
    <w:multiLevelType w:val="hybridMultilevel"/>
    <w:tmpl w:val="845C436E"/>
    <w:lvl w:ilvl="0" w:tplc="0E841DB8">
      <w:start w:val="1"/>
      <w:numFmt w:val="bullet"/>
      <w:lvlText w:val=""/>
      <w:lvlJc w:val="left"/>
      <w:pPr>
        <w:ind w:left="927" w:hanging="360"/>
      </w:pPr>
      <w:rPr>
        <w:rFonts w:ascii="Symbol" w:hAnsi="Symbol" w:hint="default"/>
      </w:rPr>
    </w:lvl>
    <w:lvl w:ilvl="1" w:tplc="5D54B642" w:tentative="1">
      <w:start w:val="1"/>
      <w:numFmt w:val="bullet"/>
      <w:lvlText w:val="o"/>
      <w:lvlJc w:val="left"/>
      <w:pPr>
        <w:ind w:left="1647" w:hanging="360"/>
      </w:pPr>
      <w:rPr>
        <w:rFonts w:ascii="Courier New" w:hAnsi="Courier New" w:cs="Courier New" w:hint="default"/>
      </w:rPr>
    </w:lvl>
    <w:lvl w:ilvl="2" w:tplc="9FE6B910" w:tentative="1">
      <w:start w:val="1"/>
      <w:numFmt w:val="bullet"/>
      <w:lvlText w:val=""/>
      <w:lvlJc w:val="left"/>
      <w:pPr>
        <w:ind w:left="2367" w:hanging="360"/>
      </w:pPr>
      <w:rPr>
        <w:rFonts w:ascii="Wingdings" w:hAnsi="Wingdings" w:hint="default"/>
      </w:rPr>
    </w:lvl>
    <w:lvl w:ilvl="3" w:tplc="2F728B86" w:tentative="1">
      <w:start w:val="1"/>
      <w:numFmt w:val="bullet"/>
      <w:lvlText w:val=""/>
      <w:lvlJc w:val="left"/>
      <w:pPr>
        <w:ind w:left="3087" w:hanging="360"/>
      </w:pPr>
      <w:rPr>
        <w:rFonts w:ascii="Symbol" w:hAnsi="Symbol" w:hint="default"/>
      </w:rPr>
    </w:lvl>
    <w:lvl w:ilvl="4" w:tplc="07B27832" w:tentative="1">
      <w:start w:val="1"/>
      <w:numFmt w:val="bullet"/>
      <w:lvlText w:val="o"/>
      <w:lvlJc w:val="left"/>
      <w:pPr>
        <w:ind w:left="3807" w:hanging="360"/>
      </w:pPr>
      <w:rPr>
        <w:rFonts w:ascii="Courier New" w:hAnsi="Courier New" w:cs="Courier New" w:hint="default"/>
      </w:rPr>
    </w:lvl>
    <w:lvl w:ilvl="5" w:tplc="B5005178" w:tentative="1">
      <w:start w:val="1"/>
      <w:numFmt w:val="bullet"/>
      <w:lvlText w:val=""/>
      <w:lvlJc w:val="left"/>
      <w:pPr>
        <w:ind w:left="4527" w:hanging="360"/>
      </w:pPr>
      <w:rPr>
        <w:rFonts w:ascii="Wingdings" w:hAnsi="Wingdings" w:hint="default"/>
      </w:rPr>
    </w:lvl>
    <w:lvl w:ilvl="6" w:tplc="F5E4F6A2" w:tentative="1">
      <w:start w:val="1"/>
      <w:numFmt w:val="bullet"/>
      <w:lvlText w:val=""/>
      <w:lvlJc w:val="left"/>
      <w:pPr>
        <w:ind w:left="5247" w:hanging="360"/>
      </w:pPr>
      <w:rPr>
        <w:rFonts w:ascii="Symbol" w:hAnsi="Symbol" w:hint="default"/>
      </w:rPr>
    </w:lvl>
    <w:lvl w:ilvl="7" w:tplc="48F4486C" w:tentative="1">
      <w:start w:val="1"/>
      <w:numFmt w:val="bullet"/>
      <w:lvlText w:val="o"/>
      <w:lvlJc w:val="left"/>
      <w:pPr>
        <w:ind w:left="5967" w:hanging="360"/>
      </w:pPr>
      <w:rPr>
        <w:rFonts w:ascii="Courier New" w:hAnsi="Courier New" w:cs="Courier New" w:hint="default"/>
      </w:rPr>
    </w:lvl>
    <w:lvl w:ilvl="8" w:tplc="E050E366" w:tentative="1">
      <w:start w:val="1"/>
      <w:numFmt w:val="bullet"/>
      <w:lvlText w:val=""/>
      <w:lvlJc w:val="left"/>
      <w:pPr>
        <w:ind w:left="6687" w:hanging="360"/>
      </w:pPr>
      <w:rPr>
        <w:rFonts w:ascii="Wingdings" w:hAnsi="Wingdings" w:hint="default"/>
      </w:rPr>
    </w:lvl>
  </w:abstractNum>
  <w:num w:numId="1">
    <w:abstractNumId w:val="27"/>
  </w:num>
  <w:num w:numId="2">
    <w:abstractNumId w:val="32"/>
  </w:num>
  <w:num w:numId="3">
    <w:abstractNumId w:val="42"/>
  </w:num>
  <w:num w:numId="4">
    <w:abstractNumId w:val="40"/>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41"/>
  </w:num>
  <w:num w:numId="26">
    <w:abstractNumId w:val="39"/>
  </w:num>
  <w:num w:numId="27">
    <w:abstractNumId w:val="28"/>
  </w:num>
  <w:num w:numId="28">
    <w:abstractNumId w:val="34"/>
  </w:num>
  <w:num w:numId="29">
    <w:abstractNumId w:val="31"/>
  </w:num>
  <w:num w:numId="30">
    <w:abstractNumId w:val="35"/>
  </w:num>
  <w:num w:numId="31">
    <w:abstractNumId w:val="20"/>
  </w:num>
  <w:num w:numId="32">
    <w:abstractNumId w:val="37"/>
  </w:num>
  <w:num w:numId="33">
    <w:abstractNumId w:val="38"/>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3"/>
  </w:num>
  <w:num w:numId="40">
    <w:abstractNumId w:val="30"/>
  </w:num>
  <w:num w:numId="41">
    <w:abstractNumId w:val="24"/>
  </w:num>
  <w:num w:numId="42">
    <w:abstractNumId w:val="36"/>
  </w:num>
  <w:num w:numId="43">
    <w:abstractNumId w:val="26"/>
  </w:num>
  <w:num w:numId="44">
    <w:abstractNumId w:val="43"/>
  </w:num>
  <w:num w:numId="45">
    <w:abstractNumId w:val="33"/>
  </w:num>
  <w:num w:numId="46">
    <w:abstractNumId w:val="25"/>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isplayBackgroundShape/>
  <w:embedSystemFonts/>
  <w:attachedTemplate r:id="rId1"/>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17D"/>
    <w:rsid w:val="00390D21"/>
    <w:rsid w:val="00C3717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264F8-9BC3-4D2D-9A5D-F2BF7D81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026CB1"/>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FB"/>
    <w:rPr>
      <w:rFonts w:eastAsia="Times New Roman" w:cs="Helvetica-Light"/>
      <w:b/>
      <w:bCs/>
      <w:sz w:val="40"/>
      <w:szCs w:val="28"/>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customStyle="1" w:styleId="NoteHeading1">
    <w:name w:val="Note Heading1"/>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1"/>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99"/>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paragraph" w:customStyle="1" w:styleId="footnotedescription">
    <w:name w:val="footnote description"/>
    <w:next w:val="Normal"/>
    <w:link w:val="footnotedescriptionChar"/>
    <w:hidden/>
    <w:rsid w:val="003D58F1"/>
    <w:pPr>
      <w:spacing w:after="66" w:line="259" w:lineRule="auto"/>
      <w:ind w:left="682"/>
    </w:pPr>
    <w:rPr>
      <w:rFonts w:ascii="Calibri" w:eastAsia="Calibri" w:hAnsi="Calibri" w:cs="Calibri"/>
      <w:color w:val="000000"/>
      <w:sz w:val="14"/>
      <w:szCs w:val="22"/>
    </w:rPr>
  </w:style>
  <w:style w:type="character" w:customStyle="1" w:styleId="footnotedescriptionChar">
    <w:name w:val="footnote description Char"/>
    <w:link w:val="footnotedescription"/>
    <w:rsid w:val="003D58F1"/>
    <w:rPr>
      <w:rFonts w:ascii="Calibri" w:eastAsia="Calibri" w:hAnsi="Calibri" w:cs="Calibri"/>
      <w:color w:val="000000"/>
      <w:sz w:val="14"/>
      <w:szCs w:val="22"/>
    </w:rPr>
  </w:style>
  <w:style w:type="character" w:customStyle="1" w:styleId="footnotemark">
    <w:name w:val="footnote mark"/>
    <w:hidden/>
    <w:rsid w:val="003D58F1"/>
    <w:rPr>
      <w:rFonts w:ascii="Calibri" w:eastAsia="Calibri" w:hAnsi="Calibri" w:cs="Calibri"/>
      <w:color w:val="000000"/>
      <w:sz w:val="14"/>
      <w:vertAlign w:val="superscript"/>
    </w:rPr>
  </w:style>
  <w:style w:type="table" w:customStyle="1" w:styleId="TableGrid8">
    <w:name w:val="Table Grid8"/>
    <w:basedOn w:val="TableNormal"/>
    <w:next w:val="TableGrid"/>
    <w:uiPriority w:val="39"/>
    <w:rsid w:val="006B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1D5EDA"/>
    <w:pPr>
      <w:spacing w:line="241" w:lineRule="atLeast"/>
    </w:pPr>
    <w:rPr>
      <w:rFonts w:ascii="Arial Narrow" w:hAnsi="Arial Narrow" w:cstheme="minorBidi"/>
      <w:color w:val="auto"/>
    </w:rPr>
  </w:style>
  <w:style w:type="paragraph" w:customStyle="1" w:styleId="ParaAttribute2">
    <w:name w:val="ParaAttribute2"/>
    <w:rsid w:val="00882976"/>
    <w:pPr>
      <w:wordWrap w:val="0"/>
      <w:spacing w:after="160"/>
    </w:pPr>
    <w:rPr>
      <w:rFonts w:ascii="Times New Roman" w:eastAsia="Batang" w:hAnsi="Times New Roman"/>
    </w:rPr>
  </w:style>
  <w:style w:type="paragraph" w:customStyle="1" w:styleId="ParaAttribute3">
    <w:name w:val="ParaAttribute3"/>
    <w:rsid w:val="00882976"/>
    <w:pPr>
      <w:wordWrap w:val="0"/>
      <w:spacing w:after="160"/>
    </w:pPr>
    <w:rPr>
      <w:rFonts w:ascii="Times New Roman" w:eastAsia="Batang" w:hAnsi="Times New Roman"/>
    </w:rPr>
  </w:style>
  <w:style w:type="paragraph" w:customStyle="1" w:styleId="ParaAttribute7">
    <w:name w:val="ParaAttribute7"/>
    <w:rsid w:val="00882976"/>
    <w:pPr>
      <w:wordWrap w:val="0"/>
      <w:jc w:val="both"/>
    </w:pPr>
    <w:rPr>
      <w:rFonts w:ascii="Times New Roman" w:eastAsia="Batang" w:hAnsi="Times New Roman"/>
    </w:rPr>
  </w:style>
  <w:style w:type="paragraph" w:customStyle="1" w:styleId="ParaAttribute9">
    <w:name w:val="ParaAttribute9"/>
    <w:rsid w:val="00882976"/>
    <w:pPr>
      <w:wordWrap w:val="0"/>
      <w:spacing w:after="200"/>
      <w:jc w:val="both"/>
    </w:pPr>
    <w:rPr>
      <w:rFonts w:ascii="Times New Roman" w:eastAsia="Batang" w:hAnsi="Times New Roman"/>
    </w:rPr>
  </w:style>
  <w:style w:type="character" w:customStyle="1" w:styleId="CharAttribute1">
    <w:name w:val="CharAttribute1"/>
    <w:rsid w:val="00882976"/>
    <w:rPr>
      <w:rFonts w:ascii="Calibri" w:eastAsia="Calibri"/>
      <w:b/>
      <w:sz w:val="24"/>
      <w:u w:val="single"/>
    </w:rPr>
  </w:style>
  <w:style w:type="character" w:customStyle="1" w:styleId="CharAttribute9">
    <w:name w:val="CharAttribute9"/>
    <w:rsid w:val="00882976"/>
    <w:rPr>
      <w:rFonts w:ascii="Calibri" w:eastAsia="Calibri"/>
      <w:i/>
      <w:sz w:val="22"/>
    </w:rPr>
  </w:style>
  <w:style w:type="character" w:customStyle="1" w:styleId="CharAttribute14">
    <w:name w:val="CharAttribute14"/>
    <w:rsid w:val="00882976"/>
    <w:rPr>
      <w:rFonts w:ascii="Arial" w:eastAsia="Arial"/>
      <w:sz w:val="24"/>
    </w:rPr>
  </w:style>
  <w:style w:type="character" w:customStyle="1" w:styleId="CharAttribute16">
    <w:name w:val="CharAttribute16"/>
    <w:rsid w:val="00882976"/>
    <w:rPr>
      <w:rFonts w:ascii="Arial" w:eastAsia="Arial"/>
      <w:i/>
      <w:sz w:val="24"/>
    </w:rPr>
  </w:style>
  <w:style w:type="table" w:customStyle="1" w:styleId="TableGrid9">
    <w:name w:val="Table Grid9"/>
    <w:basedOn w:val="TableNormal"/>
    <w:next w:val="TableGrid"/>
    <w:uiPriority w:val="39"/>
    <w:rsid w:val="0008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237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E8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ad1">
    <w:name w:val="lead1"/>
    <w:basedOn w:val="DefaultParagraphFont"/>
    <w:rsid w:val="002D0ADC"/>
    <w:rPr>
      <w:b w:val="0"/>
      <w:bCs w:val="0"/>
      <w:sz w:val="27"/>
      <w:szCs w:val="27"/>
    </w:rPr>
  </w:style>
  <w:style w:type="numbering" w:customStyle="1" w:styleId="NoList1">
    <w:name w:val="No List1"/>
    <w:next w:val="NoList"/>
    <w:uiPriority w:val="99"/>
    <w:semiHidden/>
    <w:unhideWhenUsed/>
    <w:rsid w:val="00266183"/>
  </w:style>
  <w:style w:type="table" w:customStyle="1" w:styleId="TableGrid11">
    <w:name w:val="Table Grid11"/>
    <w:basedOn w:val="TableNormal"/>
    <w:next w:val="TableGrid"/>
    <w:uiPriority w:val="5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41">
    <w:name w:val="Table List 41"/>
    <w:basedOn w:val="TableNormal"/>
    <w:next w:val="TableList4"/>
    <w:rsid w:val="0026618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2">
    <w:name w:val="Table Grid12"/>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05330-715D-4B78-996F-C033408E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437</TotalTime>
  <Pages>18</Pages>
  <Words>4474</Words>
  <Characters>25506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tboswell001</dc:creator>
  <cp:lastModifiedBy>Alker, Craig</cp:lastModifiedBy>
  <cp:revision>31</cp:revision>
  <cp:lastPrinted>2020-08-19T15:25:00Z</cp:lastPrinted>
  <dcterms:created xsi:type="dcterms:W3CDTF">2020-10-27T08:34:00Z</dcterms:created>
  <dcterms:modified xsi:type="dcterms:W3CDTF">2021-01-05T15:33:00Z</dcterms:modified>
</cp:coreProperties>
</file>